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00" w:rsidRPr="001B225D" w:rsidRDefault="001B225D" w:rsidP="001B225D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1B225D">
        <w:rPr>
          <w:rFonts w:ascii="黑体" w:eastAsia="黑体" w:hAnsi="黑体" w:hint="eastAsia"/>
          <w:color w:val="000000" w:themeColor="text1"/>
          <w:sz w:val="30"/>
          <w:szCs w:val="30"/>
        </w:rPr>
        <w:t>流量控制系统上网行为日志服务器专业版授权</w:t>
      </w:r>
      <w:r w:rsidR="00B826BA">
        <w:rPr>
          <w:rFonts w:ascii="黑体" w:eastAsia="黑体" w:hAnsi="黑体" w:hint="eastAsia"/>
          <w:color w:val="000000" w:themeColor="text1"/>
          <w:sz w:val="30"/>
          <w:szCs w:val="30"/>
        </w:rPr>
        <w:t>技术参数及售后服务要求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C3BEF" w:rsidRPr="007E6FB4" w:rsidTr="00770D1F">
        <w:trPr>
          <w:trHeight w:val="36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E6FB4" w:rsidRPr="007E6FB4" w:rsidRDefault="007E6FB4" w:rsidP="007E6FB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E6F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日志分析</w:t>
            </w:r>
          </w:p>
        </w:tc>
      </w:tr>
      <w:tr w:rsidR="006C3BEF" w:rsidRPr="007E6FB4" w:rsidTr="001B225D">
        <w:trPr>
          <w:trHeight w:val="36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支持中文Web管理界面</w:t>
            </w:r>
          </w:p>
        </w:tc>
      </w:tr>
      <w:tr w:rsidR="006C3BEF" w:rsidRPr="007E6FB4" w:rsidTr="001B225D">
        <w:trPr>
          <w:trHeight w:val="36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支持Web界面在线升级</w:t>
            </w:r>
          </w:p>
        </w:tc>
      </w:tr>
      <w:tr w:rsidR="006C3BEF" w:rsidRPr="007E6FB4" w:rsidTr="001B225D">
        <w:trPr>
          <w:trHeight w:val="36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支持同时接收多台流量设备日志</w:t>
            </w:r>
          </w:p>
        </w:tc>
      </w:tr>
      <w:tr w:rsidR="006C3BEF" w:rsidRPr="007E6FB4" w:rsidTr="001B225D">
        <w:trPr>
          <w:trHeight w:val="36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支持本地“系统维护”，如“用户管理、设备管理、数据库维护等”</w:t>
            </w:r>
          </w:p>
        </w:tc>
      </w:tr>
      <w:tr w:rsidR="006C3BEF" w:rsidRPr="007E6FB4" w:rsidTr="001B225D">
        <w:trPr>
          <w:trHeight w:val="144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支持会话日志，会话日志包含设备编号、接口、访问时间、源地址、目标地址、NAT地址、账号信息、域名、协议类型、7层协议名称、流量、运营商、地理位置一共13个元素。同时采用1:1 的日志输出，完整保留网络中的相关信息。（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1B225D">
        <w:trPr>
          <w:trHeight w:val="72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支持虚拟身份查询。通过QQ号码，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微信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ID，邮箱地址，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淘宝账号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，手机IMEI信息来查询到对应的IP地址（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5A1689">
        <w:trPr>
          <w:trHeight w:val="45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支持对校园网内无线路由器的SSID查询，查出私搭路由器问题，对可以查看私搭路由器的IP地址（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5A1689">
        <w:trPr>
          <w:trHeight w:val="57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可以对使用校园网IP的地理位置定位，协助校园网管理者找出私拉校园网线路行为。（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1B225D">
        <w:trPr>
          <w:trHeight w:val="72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支持“域名地图”，区域URL访问量数据分部图。例如：招生期间，可以看到那个省的用户对校园网主页，招生服务器访问排名。（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1B225D">
        <w:trPr>
          <w:trHeight w:val="36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支持对任何应用去往运营商统计，并提供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比例饼图与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统计数值（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5A1689">
        <w:trPr>
          <w:trHeight w:val="877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提供校内任何IP的用户画像功能。可以分析该用户访问的地理区域，去往各个运营商比例，该用户的TOP协议排名图，用户访问流量趋势图，用访问连接趋势图和该用户访问域名排名、身份信息等。（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1B225D">
        <w:trPr>
          <w:trHeight w:val="36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支持对任何URL去往运营商统计，并提供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比例饼图与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统计数值（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5A1689">
        <w:trPr>
          <w:trHeight w:val="456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支持“流量流向”统计功能，如去往电信、去往移动等，并提供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比例饼图与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统计数值（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5A1689">
        <w:trPr>
          <w:trHeight w:val="42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对校内提供HTTP或者HTTPS访问的域名进行统计，发现校内教育网IP使用校外域名的情况。（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1B225D">
        <w:trPr>
          <w:trHeight w:val="72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对校内用户访问校外图书馆资源进行统计，提供对图书馆资源流量和下载排名，为我校明年购买图书馆资源作依据；（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5A1689">
        <w:trPr>
          <w:trHeight w:val="55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对校内用户下载校外图书馆次数作统计，提供下载排名，发现恶意下载用户。（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提供抓图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6C3BEF" w:rsidRPr="007E6FB4" w:rsidTr="001B225D">
        <w:trPr>
          <w:trHeight w:val="36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7E6F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TOP域名统计，提供校内用户访问校外的TOP URL统计。</w:t>
            </w:r>
          </w:p>
        </w:tc>
      </w:tr>
      <w:tr w:rsidR="006C3BEF" w:rsidRPr="007E6FB4" w:rsidTr="001B225D">
        <w:trPr>
          <w:trHeight w:val="72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E6F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IP日志</w:t>
            </w:r>
          </w:p>
        </w:tc>
      </w:tr>
      <w:tr w:rsidR="006C3BEF" w:rsidRPr="007E6FB4" w:rsidTr="001B225D">
        <w:trPr>
          <w:trHeight w:val="3258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支持IP日志，包含：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·默认或指定时段的IP流量统计；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·针对上行流量的指定时段IP流量统计；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·针对下行流量的指定时段IP流量统计；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·针对总流量的指定时段IP流量统计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·针对并发连接数的指定时段IP统计；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·指定时段的IP流量趋势统计；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·支持“IP定制”功能，跟踪统计指定的IP列表；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·支持根据指定“阀值”的IP统计；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·支持“自定义查询”；（可指定设备、链路、时间段、IP段）</w:t>
            </w:r>
          </w:p>
        </w:tc>
      </w:tr>
      <w:tr w:rsidR="006C3BEF" w:rsidRPr="007E6FB4" w:rsidTr="00770D1F">
        <w:trPr>
          <w:trHeight w:val="564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E6F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lastRenderedPageBreak/>
              <w:t>应用日志</w:t>
            </w:r>
          </w:p>
        </w:tc>
      </w:tr>
      <w:tr w:rsidR="006C3BEF" w:rsidRPr="007E6FB4" w:rsidTr="001B225D">
        <w:trPr>
          <w:trHeight w:val="354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支持应用日志，包含：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·默认或指定时段的应用明细统计；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·针对上行流量的指定时段应用明细统计；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·针对下行流量的指定时段应用明细统计；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·针对总流量的指定时段应用明细统计；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·针对指定时段的“流量趋势”统计；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·针对指定时段的“系统流量总概”统计；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·支持“应用明细”统计；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·支持“协议定制”功能，跟踪统计指定的协议应用情况；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·支持“自定义协议”，并对其进行统计；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·针对并发连接数的指定时段应用明细统计；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 xml:space="preserve">  支持“自定义查询”；（可指定设备、链路、时间段、IP段）</w:t>
            </w:r>
          </w:p>
        </w:tc>
      </w:tr>
      <w:tr w:rsidR="006C3BEF" w:rsidRPr="007E6FB4" w:rsidTr="00770D1F">
        <w:trPr>
          <w:trHeight w:val="478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E6F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支持</w:t>
            </w:r>
            <w:proofErr w:type="gramStart"/>
            <w:r w:rsidRPr="007E6F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帐号</w:t>
            </w:r>
            <w:proofErr w:type="gramEnd"/>
            <w:r w:rsidRPr="007E6F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日志</w:t>
            </w:r>
          </w:p>
        </w:tc>
      </w:tr>
      <w:tr w:rsidR="006C3BEF" w:rsidRPr="007E6FB4" w:rsidTr="001B225D">
        <w:trPr>
          <w:trHeight w:val="480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·支持事件日志查询审计，包含：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·QQ</w:t>
            </w:r>
            <w:proofErr w:type="gramStart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帐号</w:t>
            </w:r>
            <w:proofErr w:type="gramEnd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登陆事件日；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·MSN</w:t>
            </w:r>
            <w:proofErr w:type="gramStart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帐号</w:t>
            </w:r>
            <w:proofErr w:type="gramEnd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登陆时间日志；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·URL</w:t>
            </w:r>
            <w:proofErr w:type="gramStart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帐号</w:t>
            </w:r>
            <w:proofErr w:type="gramEnd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访问事件日志；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·POP3</w:t>
            </w:r>
            <w:proofErr w:type="gramStart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帐号</w:t>
            </w:r>
            <w:proofErr w:type="gramEnd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登陆事件日志；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·新</w:t>
            </w:r>
            <w:proofErr w:type="gramStart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浪微博</w:t>
            </w:r>
            <w:proofErr w:type="gramEnd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/搜</w:t>
            </w:r>
            <w:proofErr w:type="gramStart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狐微博</w:t>
            </w:r>
            <w:proofErr w:type="gramEnd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/腾讯</w:t>
            </w:r>
            <w:proofErr w:type="gramStart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帐号</w:t>
            </w:r>
            <w:proofErr w:type="gramEnd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登陆事件日志；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·淘宝</w:t>
            </w:r>
            <w:proofErr w:type="gramStart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帐号</w:t>
            </w:r>
            <w:proofErr w:type="gramEnd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登陆事件日志；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·飞信</w:t>
            </w:r>
            <w:proofErr w:type="gramStart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帐号</w:t>
            </w:r>
            <w:proofErr w:type="gramEnd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登陆时间日志；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·连接撤销（会话）日志；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·认证事件日志（Radius、PPPOE）；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·节点日志（精确记录统计并导出各种应用协议如：迅雷、土豆、魔</w:t>
            </w:r>
            <w:proofErr w:type="gramStart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兽世界</w:t>
            </w:r>
            <w:proofErr w:type="gramEnd"/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等协议的服务器IP地址）；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·DNS事件日志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·NAT日志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·域名访问统计；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 xml:space="preserve">  共享用户统计；</w:t>
            </w:r>
          </w:p>
        </w:tc>
      </w:tr>
      <w:tr w:rsidR="006C3BEF" w:rsidRPr="007E6FB4" w:rsidTr="00770D1F">
        <w:trPr>
          <w:trHeight w:val="547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E6F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报表功能</w:t>
            </w:r>
          </w:p>
        </w:tc>
      </w:tr>
      <w:tr w:rsidR="006C3BEF" w:rsidRPr="007E6FB4" w:rsidTr="001B225D">
        <w:trPr>
          <w:trHeight w:val="772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B4" w:rsidRPr="007E6FB4" w:rsidRDefault="007E6FB4" w:rsidP="001B22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自动生成日报表，月报表等；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>·可以按照时间,IP网段只定义报表创建PDF格式导出；</w:t>
            </w:r>
            <w:r w:rsidRPr="007E6FB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 xml:space="preserve">  各类分项日志支持Excel格式导出；</w:t>
            </w:r>
          </w:p>
        </w:tc>
      </w:tr>
    </w:tbl>
    <w:p w:rsidR="007E6FB4" w:rsidRDefault="007E6FB4">
      <w:pPr>
        <w:rPr>
          <w:color w:val="000000" w:themeColor="text1"/>
        </w:rPr>
      </w:pPr>
    </w:p>
    <w:p w:rsidR="00E46A44" w:rsidRPr="00770D1F" w:rsidRDefault="00E46A44">
      <w:pPr>
        <w:rPr>
          <w:rFonts w:ascii="宋体" w:eastAsia="宋体" w:hAnsi="宋体"/>
          <w:b/>
          <w:color w:val="000000" w:themeColor="text1"/>
          <w:sz w:val="24"/>
        </w:rPr>
      </w:pPr>
      <w:r w:rsidRPr="00770D1F">
        <w:rPr>
          <w:rFonts w:ascii="宋体" w:eastAsia="宋体" w:hAnsi="宋体" w:hint="eastAsia"/>
          <w:b/>
          <w:color w:val="000000" w:themeColor="text1"/>
          <w:sz w:val="24"/>
        </w:rPr>
        <w:t>售后服务要求：</w:t>
      </w:r>
    </w:p>
    <w:p w:rsidR="00770D1F" w:rsidRPr="00770D1F" w:rsidRDefault="00770D1F" w:rsidP="00770D1F">
      <w:pPr>
        <w:widowControl/>
        <w:spacing w:line="360" w:lineRule="exact"/>
        <w:ind w:firstLine="120"/>
        <w:jc w:val="left"/>
        <w:rPr>
          <w:rFonts w:ascii="宋体" w:eastAsia="宋体" w:hAnsi="宋体" w:cs="Times New Roman"/>
          <w:sz w:val="24"/>
        </w:rPr>
      </w:pPr>
      <w:r w:rsidRPr="00770D1F">
        <w:rPr>
          <w:rFonts w:ascii="宋体" w:eastAsia="宋体" w:hAnsi="宋体" w:cs="Times New Roman" w:hint="eastAsia"/>
          <w:sz w:val="24"/>
        </w:rPr>
        <w:t>1、终生使用授权，含3年</w:t>
      </w:r>
      <w:proofErr w:type="gramStart"/>
      <w:r w:rsidRPr="00770D1F">
        <w:rPr>
          <w:rFonts w:ascii="宋体" w:eastAsia="宋体" w:hAnsi="宋体" w:cs="Times New Roman" w:hint="eastAsia"/>
          <w:sz w:val="24"/>
        </w:rPr>
        <w:t>升级维保服务</w:t>
      </w:r>
      <w:proofErr w:type="gramEnd"/>
      <w:r w:rsidRPr="00770D1F">
        <w:rPr>
          <w:rFonts w:ascii="宋体" w:eastAsia="宋体" w:hAnsi="宋体" w:cs="Times New Roman" w:hint="eastAsia"/>
          <w:sz w:val="24"/>
        </w:rPr>
        <w:t>；</w:t>
      </w:r>
    </w:p>
    <w:p w:rsidR="00770D1F" w:rsidRPr="00770D1F" w:rsidRDefault="00770D1F" w:rsidP="00770D1F">
      <w:pPr>
        <w:widowControl/>
        <w:spacing w:line="360" w:lineRule="exact"/>
        <w:ind w:firstLine="120"/>
        <w:jc w:val="left"/>
        <w:rPr>
          <w:rFonts w:ascii="宋体" w:eastAsia="宋体" w:hAnsi="宋体" w:cs="Times New Roman"/>
          <w:sz w:val="24"/>
        </w:rPr>
      </w:pPr>
      <w:r w:rsidRPr="00770D1F">
        <w:rPr>
          <w:rFonts w:ascii="宋体" w:eastAsia="宋体" w:hAnsi="宋体" w:cs="Times New Roman"/>
          <w:sz w:val="24"/>
        </w:rPr>
        <w:t>2</w:t>
      </w:r>
      <w:r w:rsidRPr="00770D1F">
        <w:rPr>
          <w:rFonts w:ascii="宋体" w:eastAsia="宋体" w:hAnsi="宋体" w:cs="Times New Roman" w:hint="eastAsia"/>
          <w:sz w:val="24"/>
        </w:rPr>
        <w:t>、特征库更新升级次数不低于10次/年；</w:t>
      </w:r>
    </w:p>
    <w:p w:rsidR="00770D1F" w:rsidRPr="00770D1F" w:rsidRDefault="00770D1F" w:rsidP="00770D1F">
      <w:pPr>
        <w:widowControl/>
        <w:spacing w:line="360" w:lineRule="exact"/>
        <w:ind w:firstLine="120"/>
        <w:jc w:val="left"/>
        <w:rPr>
          <w:rFonts w:ascii="宋体" w:eastAsia="宋体" w:hAnsi="宋体" w:cs="Times New Roman"/>
          <w:sz w:val="24"/>
        </w:rPr>
      </w:pPr>
      <w:r w:rsidRPr="00770D1F">
        <w:rPr>
          <w:rFonts w:ascii="宋体" w:eastAsia="宋体" w:hAnsi="宋体" w:cs="Times New Roman"/>
          <w:sz w:val="24"/>
        </w:rPr>
        <w:t>3</w:t>
      </w:r>
      <w:r w:rsidRPr="00770D1F">
        <w:rPr>
          <w:rFonts w:ascii="宋体" w:eastAsia="宋体" w:hAnsi="宋体" w:cs="Times New Roman" w:hint="eastAsia"/>
          <w:sz w:val="24"/>
        </w:rPr>
        <w:t>、在</w:t>
      </w:r>
      <w:proofErr w:type="gramStart"/>
      <w:r w:rsidRPr="00770D1F">
        <w:rPr>
          <w:rFonts w:ascii="宋体" w:eastAsia="宋体" w:hAnsi="宋体" w:cs="Times New Roman" w:hint="eastAsia"/>
          <w:sz w:val="24"/>
        </w:rPr>
        <w:t>升级维保</w:t>
      </w:r>
      <w:bookmarkStart w:id="0" w:name="_GoBack"/>
      <w:bookmarkEnd w:id="0"/>
      <w:r w:rsidRPr="00770D1F">
        <w:rPr>
          <w:rFonts w:ascii="宋体" w:eastAsia="宋体" w:hAnsi="宋体" w:cs="Times New Roman" w:hint="eastAsia"/>
          <w:sz w:val="24"/>
        </w:rPr>
        <w:t>有效期</w:t>
      </w:r>
      <w:proofErr w:type="gramEnd"/>
      <w:r w:rsidRPr="00770D1F">
        <w:rPr>
          <w:rFonts w:ascii="宋体" w:eastAsia="宋体" w:hAnsi="宋体" w:cs="Times New Roman" w:hint="eastAsia"/>
          <w:sz w:val="24"/>
        </w:rPr>
        <w:t>内迭代的新增功能将完全免费，不受限制；</w:t>
      </w:r>
    </w:p>
    <w:p w:rsidR="00770D1F" w:rsidRPr="00770D1F" w:rsidRDefault="00770D1F" w:rsidP="00770D1F">
      <w:pPr>
        <w:widowControl/>
        <w:spacing w:line="360" w:lineRule="exact"/>
        <w:ind w:left="120"/>
        <w:jc w:val="left"/>
        <w:rPr>
          <w:rFonts w:ascii="宋体" w:eastAsia="宋体" w:hAnsi="宋体" w:cs="Times New Roman"/>
          <w:sz w:val="24"/>
        </w:rPr>
      </w:pPr>
      <w:r w:rsidRPr="00770D1F">
        <w:rPr>
          <w:rFonts w:ascii="宋体" w:eastAsia="宋体" w:hAnsi="宋体" w:cs="Times New Roman"/>
          <w:sz w:val="24"/>
        </w:rPr>
        <w:t>4</w:t>
      </w:r>
      <w:r w:rsidRPr="00770D1F">
        <w:rPr>
          <w:rFonts w:ascii="宋体" w:eastAsia="宋体" w:hAnsi="宋体" w:cs="Times New Roman" w:hint="eastAsia"/>
          <w:sz w:val="24"/>
        </w:rPr>
        <w:t>、提供5*8小时在线服务，包含技术支持电话、邮件、网络工具等服务形式的技术支持；</w:t>
      </w:r>
    </w:p>
    <w:p w:rsidR="00E46A44" w:rsidRPr="00770D1F" w:rsidRDefault="00770D1F" w:rsidP="00770D1F">
      <w:pPr>
        <w:ind w:left="120"/>
        <w:rPr>
          <w:rFonts w:ascii="宋体" w:eastAsia="宋体" w:hAnsi="宋体" w:cs="Times New Roman"/>
          <w:sz w:val="22"/>
        </w:rPr>
      </w:pPr>
      <w:r w:rsidRPr="00770D1F">
        <w:rPr>
          <w:rFonts w:ascii="宋体" w:eastAsia="宋体" w:hAnsi="宋体" w:cs="Times New Roman"/>
          <w:sz w:val="24"/>
        </w:rPr>
        <w:t>5</w:t>
      </w:r>
      <w:r w:rsidRPr="00770D1F">
        <w:rPr>
          <w:rFonts w:ascii="宋体" w:eastAsia="宋体" w:hAnsi="宋体" w:cs="Times New Roman" w:hint="eastAsia"/>
          <w:sz w:val="24"/>
        </w:rPr>
        <w:t>、服务期内的上门维护服务，包含设备故障、重大事件或故障工程师上门排障等服务。</w:t>
      </w:r>
    </w:p>
    <w:sectPr w:rsidR="00E46A44" w:rsidRPr="00770D1F" w:rsidSect="00332F6F">
      <w:footerReference w:type="default" r:id="rId8"/>
      <w:pgSz w:w="11900" w:h="16840"/>
      <w:pgMar w:top="720" w:right="720" w:bottom="720" w:left="720" w:header="340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A7" w:rsidRDefault="004063A7" w:rsidP="00332F6F">
      <w:r>
        <w:separator/>
      </w:r>
    </w:p>
  </w:endnote>
  <w:endnote w:type="continuationSeparator" w:id="0">
    <w:p w:rsidR="004063A7" w:rsidRDefault="004063A7" w:rsidP="0033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8770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32F6F" w:rsidRDefault="00332F6F">
            <w:pPr>
              <w:pStyle w:val="a4"/>
              <w:jc w:val="center"/>
            </w:pPr>
            <w:r w:rsidRPr="00332F6F">
              <w:rPr>
                <w:rFonts w:ascii="宋体" w:eastAsia="宋体" w:hAnsi="宋体" w:hint="eastAsia"/>
              </w:rPr>
              <w:t>第</w:t>
            </w:r>
            <w:r w:rsidRPr="00332F6F">
              <w:rPr>
                <w:rFonts w:ascii="宋体" w:eastAsia="宋体" w:hAnsi="宋体"/>
                <w:bCs/>
              </w:rPr>
              <w:fldChar w:fldCharType="begin"/>
            </w:r>
            <w:r w:rsidRPr="00332F6F">
              <w:rPr>
                <w:rFonts w:ascii="宋体" w:eastAsia="宋体" w:hAnsi="宋体"/>
                <w:bCs/>
              </w:rPr>
              <w:instrText>PAGE</w:instrText>
            </w:r>
            <w:r w:rsidRPr="00332F6F">
              <w:rPr>
                <w:rFonts w:ascii="宋体" w:eastAsia="宋体" w:hAnsi="宋体"/>
                <w:bCs/>
              </w:rPr>
              <w:fldChar w:fldCharType="separate"/>
            </w:r>
            <w:r w:rsidR="008B7486">
              <w:rPr>
                <w:rFonts w:ascii="宋体" w:eastAsia="宋体" w:hAnsi="宋体"/>
                <w:bCs/>
                <w:noProof/>
              </w:rPr>
              <w:t>2</w:t>
            </w:r>
            <w:r w:rsidRPr="00332F6F">
              <w:rPr>
                <w:rFonts w:ascii="宋体" w:eastAsia="宋体" w:hAnsi="宋体"/>
                <w:bCs/>
              </w:rPr>
              <w:fldChar w:fldCharType="end"/>
            </w:r>
            <w:r w:rsidRPr="00332F6F">
              <w:rPr>
                <w:rFonts w:ascii="宋体" w:eastAsia="宋体" w:hAnsi="宋体" w:hint="eastAsia"/>
                <w:bCs/>
              </w:rPr>
              <w:t>页</w:t>
            </w:r>
            <w:r w:rsidRPr="00332F6F">
              <w:rPr>
                <w:rFonts w:ascii="宋体" w:eastAsia="宋体" w:hAnsi="宋体"/>
                <w:lang w:val="zh-CN"/>
              </w:rPr>
              <w:t xml:space="preserve"> /</w:t>
            </w:r>
            <w:r w:rsidRPr="00332F6F">
              <w:rPr>
                <w:rFonts w:ascii="宋体" w:eastAsia="宋体" w:hAnsi="宋体" w:hint="eastAsia"/>
                <w:lang w:val="zh-CN"/>
              </w:rPr>
              <w:t>共</w:t>
            </w:r>
            <w:r w:rsidRPr="00332F6F">
              <w:rPr>
                <w:rFonts w:ascii="宋体" w:eastAsia="宋体" w:hAnsi="宋体"/>
                <w:bCs/>
              </w:rPr>
              <w:fldChar w:fldCharType="begin"/>
            </w:r>
            <w:r w:rsidRPr="00332F6F">
              <w:rPr>
                <w:rFonts w:ascii="宋体" w:eastAsia="宋体" w:hAnsi="宋体"/>
                <w:bCs/>
              </w:rPr>
              <w:instrText>NUMPAGES</w:instrText>
            </w:r>
            <w:r w:rsidRPr="00332F6F">
              <w:rPr>
                <w:rFonts w:ascii="宋体" w:eastAsia="宋体" w:hAnsi="宋体"/>
                <w:bCs/>
              </w:rPr>
              <w:fldChar w:fldCharType="separate"/>
            </w:r>
            <w:r w:rsidR="008B7486">
              <w:rPr>
                <w:rFonts w:ascii="宋体" w:eastAsia="宋体" w:hAnsi="宋体"/>
                <w:bCs/>
                <w:noProof/>
              </w:rPr>
              <w:t>2</w:t>
            </w:r>
            <w:r w:rsidRPr="00332F6F">
              <w:rPr>
                <w:rFonts w:ascii="宋体" w:eastAsia="宋体" w:hAnsi="宋体"/>
                <w:bCs/>
              </w:rPr>
              <w:fldChar w:fldCharType="end"/>
            </w:r>
            <w:r w:rsidRPr="00332F6F">
              <w:rPr>
                <w:rFonts w:ascii="宋体" w:eastAsia="宋体" w:hAnsi="宋体" w:hint="eastAsia"/>
                <w:bCs/>
              </w:rPr>
              <w:t>页</w:t>
            </w:r>
          </w:p>
        </w:sdtContent>
      </w:sdt>
    </w:sdtContent>
  </w:sdt>
  <w:p w:rsidR="00332F6F" w:rsidRDefault="00332F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A7" w:rsidRDefault="004063A7" w:rsidP="00332F6F">
      <w:r>
        <w:separator/>
      </w:r>
    </w:p>
  </w:footnote>
  <w:footnote w:type="continuationSeparator" w:id="0">
    <w:p w:rsidR="004063A7" w:rsidRDefault="004063A7" w:rsidP="0033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B4"/>
    <w:rsid w:val="00133395"/>
    <w:rsid w:val="00171420"/>
    <w:rsid w:val="001B225D"/>
    <w:rsid w:val="00332F6F"/>
    <w:rsid w:val="003B3D76"/>
    <w:rsid w:val="004063A7"/>
    <w:rsid w:val="00452800"/>
    <w:rsid w:val="005A1689"/>
    <w:rsid w:val="006C3BEF"/>
    <w:rsid w:val="00770D1F"/>
    <w:rsid w:val="007E6FB4"/>
    <w:rsid w:val="008B7486"/>
    <w:rsid w:val="00B826BA"/>
    <w:rsid w:val="00C66DAF"/>
    <w:rsid w:val="00E46A44"/>
    <w:rsid w:val="00E76EF3"/>
    <w:rsid w:val="00E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F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7544-B5F4-4EB4-91B6-CBB4F63E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刘学文</dc:creator>
  <cp:keywords/>
  <dc:description/>
  <cp:lastModifiedBy>lenovo</cp:lastModifiedBy>
  <cp:revision>11</cp:revision>
  <cp:lastPrinted>2019-03-06T01:26:00Z</cp:lastPrinted>
  <dcterms:created xsi:type="dcterms:W3CDTF">2019-02-27T09:10:00Z</dcterms:created>
  <dcterms:modified xsi:type="dcterms:W3CDTF">2019-03-06T01:26:00Z</dcterms:modified>
</cp:coreProperties>
</file>