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53C50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防火墙安全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配置指南</w:t>
      </w:r>
    </w:p>
    <w:p w14:paraId="3F211C0D">
      <w:pPr>
        <w:rPr>
          <w:rFonts w:hint="eastAsia"/>
          <w:lang w:val="en-US" w:eastAsia="zh-CN"/>
        </w:rPr>
      </w:pPr>
    </w:p>
    <w:p w14:paraId="3AEDB7EB">
      <w:pPr>
        <w:pStyle w:val="2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第一章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总则</w:t>
      </w:r>
    </w:p>
    <w:p w14:paraId="1557C434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第一条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目的</w:t>
      </w:r>
    </w:p>
    <w:p w14:paraId="14A980C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防火墙设备的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配置管理，提升网络边界安全防护能力，防范外部攻击和内部违规行为，保障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网络和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信息系统安全稳定运行，依据国家网络安全等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级保护相关标准，结合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实际，制定本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D8073BD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第二条 适用范围</w:t>
      </w:r>
    </w:p>
    <w:p w14:paraId="5FC7219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</w:t>
      </w:r>
      <w:r>
        <w:rPr>
          <w:rFonts w:hint="eastAsia" w:ascii="仿宋_GB2312" w:hAnsi="仿宋_GB2312" w:eastAsia="仿宋_GB2312" w:cs="仿宋_GB2312"/>
          <w:sz w:val="32"/>
          <w:szCs w:val="32"/>
        </w:rPr>
        <w:t>适用于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部署在各网络边界的防火墙设备（含下一代防火墙）的部署、配置、加固、变更、运维与核查管理，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相关管理人员、运维人员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</w:rPr>
        <w:t>遵照执行。</w:t>
      </w:r>
    </w:p>
    <w:p w14:paraId="49B4203F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第三条 引用标准</w:t>
      </w:r>
    </w:p>
    <w:p w14:paraId="338EE403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《信息安全技术 网络安全等级保护基本要求》（GB/T 22239-2019）；</w:t>
      </w:r>
    </w:p>
    <w:p w14:paraId="354FB76B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《信息安全技术 网络安全等级保护测评要求》（GB/T 28448-2019）；</w:t>
      </w:r>
    </w:p>
    <w:p w14:paraId="71F81535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《信息安全技术 网络安全等级保护安全设计技术要求》（GB/T 25070-2019）；</w:t>
      </w:r>
    </w:p>
    <w:p w14:paraId="18CCF874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《信息安全技术 防火墙安全技术要求和测试评价方法》（GB/T 20281-2020）。</w:t>
      </w:r>
    </w:p>
    <w:p w14:paraId="500EC50B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4A3A27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第二章  防火墙设备安全管理</w:t>
      </w:r>
    </w:p>
    <w:p w14:paraId="73AA6A55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第四条 账号与口令管理</w:t>
      </w:r>
    </w:p>
    <w:p w14:paraId="0F8D41FB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4.1</w:t>
      </w:r>
      <w:r>
        <w:rPr>
          <w:rFonts w:hint="eastAsia" w:ascii="仿宋_GB2312" w:hAnsi="仿宋_GB2312" w:eastAsia="仿宋_GB2312" w:cs="仿宋_GB2312"/>
          <w:sz w:val="32"/>
          <w:szCs w:val="32"/>
        </w:rPr>
        <w:t>应删除、禁用或重命名出厂默认管理账号（如admin、root、manager等），无法删除的必须修改默认口令；</w:t>
      </w:r>
    </w:p>
    <w:p w14:paraId="184910C6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4.2</w:t>
      </w:r>
      <w:r>
        <w:rPr>
          <w:rFonts w:hint="eastAsia" w:ascii="仿宋_GB2312" w:hAnsi="仿宋_GB2312" w:eastAsia="仿宋_GB2312" w:cs="仿宋_GB2312"/>
          <w:sz w:val="32"/>
          <w:szCs w:val="32"/>
        </w:rPr>
        <w:t>应启用口令复杂度策略：口令长度不少于8位（建议12位以上），至少包含大写字母、小写字母、数字、特殊字符中的三类，不得与账号名称相同，不得与旧口令相同；</w:t>
      </w:r>
    </w:p>
    <w:p w14:paraId="7654037A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4.3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管理账号口令有效期不得超过90天，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到期强制更换；</w:t>
      </w:r>
    </w:p>
    <w:p w14:paraId="4E758C38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4.4</w:t>
      </w:r>
      <w:r>
        <w:rPr>
          <w:rFonts w:hint="eastAsia" w:ascii="仿宋_GB2312" w:hAnsi="仿宋_GB2312" w:eastAsia="仿宋_GB2312" w:cs="仿宋_GB2312"/>
          <w:sz w:val="32"/>
          <w:szCs w:val="32"/>
        </w:rPr>
        <w:t>应启用登录失败处理功能：连续登录失败5次锁定账号，锁定时间不少于10分钟，解锁须经管理员操作；</w:t>
      </w:r>
    </w:p>
    <w:p w14:paraId="4D4FE1C4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4.5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管理会话无操作超过1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分钟应自动退出；</w:t>
      </w:r>
    </w:p>
    <w:p w14:paraId="146B5007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4.6</w:t>
      </w:r>
      <w:r>
        <w:rPr>
          <w:rFonts w:hint="eastAsia" w:ascii="仿宋_GB2312" w:hAnsi="仿宋_GB2312" w:eastAsia="仿宋_GB2312" w:cs="仿宋_GB2312"/>
          <w:sz w:val="32"/>
          <w:szCs w:val="32"/>
        </w:rPr>
        <w:t>应设置系统管理员、安全管理员、审计管理员三类角色，实现权限分离，禁止多人共用账号；</w:t>
      </w:r>
    </w:p>
    <w:p w14:paraId="50CEF3FB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4.7</w:t>
      </w:r>
      <w:r>
        <w:rPr>
          <w:rFonts w:hint="eastAsia" w:ascii="仿宋_GB2312" w:hAnsi="仿宋_GB2312" w:eastAsia="仿宋_GB2312" w:cs="仿宋_GB2312"/>
          <w:sz w:val="32"/>
          <w:szCs w:val="32"/>
        </w:rPr>
        <w:t>重要设备的远程管理宜启用证书认证或双因素认证。</w:t>
      </w:r>
    </w:p>
    <w:p w14:paraId="143EBB11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第五条 管理通道管理</w:t>
      </w:r>
    </w:p>
    <w:p w14:paraId="418B19C1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5.1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禁止使用HTTP、Telnet方式管理防火墙，仅保留HTTPS、SSH管理方式，并宜修改默认管理端口；</w:t>
      </w:r>
    </w:p>
    <w:p w14:paraId="54AD79E1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sz w:val="32"/>
          <w:szCs w:val="32"/>
        </w:rPr>
        <w:t>应配置管理访问控制列表，仅允许运维管理区或堡垒机地址访问管理接口；</w:t>
      </w:r>
    </w:p>
    <w:p w14:paraId="3838EBEC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5.3</w:t>
      </w:r>
      <w:r>
        <w:rPr>
          <w:rFonts w:hint="eastAsia" w:ascii="仿宋_GB2312" w:hAnsi="仿宋_GB2312" w:eastAsia="仿宋_GB2312" w:cs="仿宋_GB2312"/>
          <w:sz w:val="32"/>
          <w:szCs w:val="32"/>
        </w:rPr>
        <w:t>应关闭不使用的管理接口，业务接口原则上不开放管理功能；</w:t>
      </w:r>
    </w:p>
    <w:p w14:paraId="26195882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5.4</w:t>
      </w:r>
      <w:r>
        <w:rPr>
          <w:rFonts w:hint="eastAsia" w:ascii="仿宋_GB2312" w:hAnsi="仿宋_GB2312" w:eastAsia="仿宋_GB2312" w:cs="仿宋_GB2312"/>
          <w:sz w:val="32"/>
          <w:szCs w:val="32"/>
        </w:rPr>
        <w:t>严禁将防火墙管理接口暴露在互联网方向；</w:t>
      </w:r>
    </w:p>
    <w:p w14:paraId="65640768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5.5</w:t>
      </w:r>
      <w:r>
        <w:rPr>
          <w:rFonts w:hint="eastAsia" w:ascii="仿宋_GB2312" w:hAnsi="仿宋_GB2312" w:eastAsia="仿宋_GB2312" w:cs="仿宋_GB2312"/>
          <w:sz w:val="32"/>
          <w:szCs w:val="32"/>
        </w:rPr>
        <w:t>应设置登录警示语，提示操作行为将被审计；</w:t>
      </w:r>
    </w:p>
    <w:p w14:paraId="409B1CB9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5.6</w:t>
      </w:r>
      <w:r>
        <w:rPr>
          <w:rFonts w:hint="eastAsia" w:ascii="仿宋_GB2312" w:hAnsi="仿宋_GB2312" w:eastAsia="仿宋_GB2312" w:cs="仿宋_GB2312"/>
          <w:sz w:val="32"/>
          <w:szCs w:val="32"/>
        </w:rPr>
        <w:t>远程管理行为应纳入审计，重要操作应经堡垒机代理。</w:t>
      </w:r>
    </w:p>
    <w:p w14:paraId="51176657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第六条 服务与协议管理</w:t>
      </w:r>
    </w:p>
    <w:p w14:paraId="3737E14E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6.1</w:t>
      </w:r>
      <w:r>
        <w:rPr>
          <w:rFonts w:hint="eastAsia" w:ascii="仿宋_GB2312" w:hAnsi="仿宋_GB2312" w:eastAsia="仿宋_GB2312" w:cs="仿宋_GB2312"/>
          <w:sz w:val="32"/>
          <w:szCs w:val="32"/>
        </w:rPr>
        <w:t>应关闭SNMP服务，确需使用的必须启用SNMPv3（认证+加密），禁用v1、v2c版本；</w:t>
      </w:r>
    </w:p>
    <w:p w14:paraId="1DD695E7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6.2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不得使用默认团体名public、private；</w:t>
      </w:r>
    </w:p>
    <w:p w14:paraId="0877CCBC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6.3</w:t>
      </w:r>
      <w:r>
        <w:rPr>
          <w:rFonts w:hint="eastAsia" w:ascii="仿宋_GB2312" w:hAnsi="仿宋_GB2312" w:eastAsia="仿宋_GB2312" w:cs="仿宋_GB2312"/>
          <w:sz w:val="32"/>
          <w:szCs w:val="32"/>
        </w:rPr>
        <w:t>应关闭设备上不需要的服务（如DHCP服务器、DNS代理等）；</w:t>
      </w:r>
    </w:p>
    <w:p w14:paraId="6D271343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6.4</w:t>
      </w:r>
      <w:r>
        <w:rPr>
          <w:rFonts w:hint="eastAsia" w:ascii="仿宋_GB2312" w:hAnsi="仿宋_GB2312" w:eastAsia="仿宋_GB2312" w:cs="仿宋_GB2312"/>
          <w:sz w:val="32"/>
          <w:szCs w:val="32"/>
        </w:rPr>
        <w:t>未使用的物理或逻辑接口应一律关闭。</w:t>
      </w:r>
    </w:p>
    <w:p w14:paraId="67739A97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第七条 日志与审计管理</w:t>
      </w:r>
    </w:p>
    <w:p w14:paraId="5F1EBE67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7.1</w:t>
      </w:r>
      <w:r>
        <w:rPr>
          <w:rFonts w:hint="eastAsia" w:ascii="仿宋_GB2312" w:hAnsi="仿宋_GB2312" w:eastAsia="仿宋_GB2312" w:cs="仿宋_GB2312"/>
          <w:sz w:val="32"/>
          <w:szCs w:val="32"/>
        </w:rPr>
        <w:t>应开启全部审计功能，对登录登出、账号变更、配置变更、策略变更、安全事件、系统事件进行记录；</w:t>
      </w:r>
    </w:p>
    <w:p w14:paraId="6CE36BA0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7.2</w:t>
      </w:r>
      <w:r>
        <w:rPr>
          <w:rFonts w:hint="eastAsia" w:ascii="仿宋_GB2312" w:hAnsi="仿宋_GB2312" w:eastAsia="仿宋_GB2312" w:cs="仿宋_GB2312"/>
          <w:sz w:val="32"/>
          <w:szCs w:val="32"/>
        </w:rPr>
        <w:t>应配置NTP时间同步，确保日志时间准确；</w:t>
      </w:r>
    </w:p>
    <w:p w14:paraId="4B109545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7.3可</w:t>
      </w:r>
      <w:r>
        <w:rPr>
          <w:rFonts w:hint="eastAsia" w:ascii="仿宋_GB2312" w:hAnsi="仿宋_GB2312" w:eastAsia="仿宋_GB2312" w:cs="仿宋_GB2312"/>
          <w:sz w:val="32"/>
          <w:szCs w:val="32"/>
        </w:rPr>
        <w:t>将日志通过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s</w:t>
      </w:r>
      <w:r>
        <w:rPr>
          <w:rFonts w:hint="eastAsia" w:ascii="仿宋_GB2312" w:hAnsi="仿宋_GB2312" w:eastAsia="仿宋_GB2312" w:cs="仿宋_GB2312"/>
          <w:sz w:val="32"/>
          <w:szCs w:val="32"/>
        </w:rPr>
        <w:t>yslog外发至日志审计平台，日志留存不少于6个月，并定期备份；</w:t>
      </w:r>
    </w:p>
    <w:p w14:paraId="23F63C3C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7.4</w:t>
      </w:r>
      <w:r>
        <w:rPr>
          <w:rFonts w:hint="eastAsia" w:ascii="仿宋_GB2312" w:hAnsi="仿宋_GB2312" w:eastAsia="仿宋_GB2312" w:cs="仿宋_GB2312"/>
          <w:sz w:val="32"/>
          <w:szCs w:val="32"/>
        </w:rPr>
        <w:t>审计记录应包括事件的日期时间、用户、事件类型、事件结果等信息；</w:t>
      </w:r>
    </w:p>
    <w:p w14:paraId="0C3FD827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7.5</w:t>
      </w:r>
      <w:r>
        <w:rPr>
          <w:rFonts w:hint="eastAsia" w:ascii="仿宋_GB2312" w:hAnsi="仿宋_GB2312" w:eastAsia="仿宋_GB2312" w:cs="仿宋_GB2312"/>
          <w:sz w:val="32"/>
          <w:szCs w:val="32"/>
        </w:rPr>
        <w:t>日志删除、修改权限仅限审计管理员，防止审计记录被未预期的删除、修改或覆盖。</w:t>
      </w:r>
    </w:p>
    <w:p w14:paraId="224986AB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第八条 配置与版本管理</w:t>
      </w:r>
    </w:p>
    <w:p w14:paraId="22D07698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8.1</w:t>
      </w:r>
      <w:r>
        <w:rPr>
          <w:rFonts w:hint="eastAsia" w:ascii="仿宋_GB2312" w:hAnsi="仿宋_GB2312" w:eastAsia="仿宋_GB2312" w:cs="仿宋_GB2312"/>
          <w:sz w:val="32"/>
          <w:szCs w:val="32"/>
        </w:rPr>
        <w:t>配置变更前应进行手动备份，并配置定期自动备份；备份文件应加密导出并离线保存；</w:t>
      </w:r>
    </w:p>
    <w:p w14:paraId="68CDDFFF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8.2</w:t>
      </w:r>
      <w:r>
        <w:rPr>
          <w:rFonts w:hint="eastAsia" w:ascii="仿宋_GB2312" w:hAnsi="仿宋_GB2312" w:eastAsia="仿宋_GB2312" w:cs="仿宋_GB2312"/>
          <w:sz w:val="32"/>
          <w:szCs w:val="32"/>
        </w:rPr>
        <w:t>应及时更新设备固件及IPS特征库、病毒库、应用识别库；升级前应备份配置，在业务低峰窗口期实施，升级后应进行验证；</w:t>
      </w:r>
    </w:p>
    <w:p w14:paraId="471CA6AC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8.3</w:t>
      </w:r>
      <w:r>
        <w:rPr>
          <w:rFonts w:hint="eastAsia" w:ascii="仿宋_GB2312" w:hAnsi="仿宋_GB2312" w:eastAsia="仿宋_GB2312" w:cs="仿宋_GB2312"/>
          <w:sz w:val="32"/>
          <w:szCs w:val="32"/>
        </w:rPr>
        <w:t>新设备上线前应核查固件版本，确认无已知高危漏洞，并恢复出厂配置后重新配置；</w:t>
      </w:r>
    </w:p>
    <w:p w14:paraId="26981D34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8.4</w:t>
      </w:r>
      <w:r>
        <w:rPr>
          <w:rFonts w:hint="eastAsia" w:ascii="仿宋_GB2312" w:hAnsi="仿宋_GB2312" w:eastAsia="仿宋_GB2312" w:cs="仿宋_GB2312"/>
          <w:sz w:val="32"/>
          <w:szCs w:val="32"/>
        </w:rPr>
        <w:t>重要业务边界的防火墙应部署双机热备，并定期进行主备切换演练；</w:t>
      </w:r>
    </w:p>
    <w:p w14:paraId="08CEEEB8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8.5</w:t>
      </w:r>
      <w:r>
        <w:rPr>
          <w:rFonts w:hint="eastAsia" w:ascii="仿宋_GB2312" w:hAnsi="仿宋_GB2312" w:eastAsia="仿宋_GB2312" w:cs="仿宋_GB2312"/>
          <w:sz w:val="32"/>
          <w:szCs w:val="32"/>
        </w:rPr>
        <w:t>防火墙应纳入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平台监控，对CPU、内存、会话数、流量设置告警阈值。</w:t>
      </w:r>
    </w:p>
    <w:p w14:paraId="23413BA8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7A1C52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第三章  安全策略管理</w:t>
      </w:r>
    </w:p>
    <w:p w14:paraId="40347D4F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第九条 访问控制原则</w:t>
      </w:r>
    </w:p>
    <w:p w14:paraId="790951EE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9.1</w:t>
      </w:r>
      <w:r>
        <w:rPr>
          <w:rFonts w:hint="eastAsia" w:ascii="仿宋_GB2312" w:hAnsi="仿宋_GB2312" w:eastAsia="仿宋_GB2312" w:cs="仿宋_GB2312"/>
          <w:sz w:val="32"/>
          <w:szCs w:val="32"/>
        </w:rPr>
        <w:t>防火墙应部署于安全区域边界，所有跨边界的访问和数据流必须经由防火墙受控接口通行，禁止旁路绕行；</w:t>
      </w:r>
    </w:p>
    <w:p w14:paraId="03634D31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9.2</w:t>
      </w:r>
      <w:r>
        <w:rPr>
          <w:rFonts w:hint="eastAsia" w:ascii="仿宋_GB2312" w:hAnsi="仿宋_GB2312" w:eastAsia="仿宋_GB2312" w:cs="仿宋_GB2312"/>
          <w:sz w:val="32"/>
          <w:szCs w:val="32"/>
        </w:rPr>
        <w:t>应遵循默认拒绝原则，除明确允许的通信外全部拒绝；</w:t>
      </w:r>
    </w:p>
    <w:p w14:paraId="3CBAFC45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9.3</w:t>
      </w:r>
      <w:r>
        <w:rPr>
          <w:rFonts w:hint="eastAsia" w:ascii="仿宋_GB2312" w:hAnsi="仿宋_GB2312" w:eastAsia="仿宋_GB2312" w:cs="仿宋_GB2312"/>
          <w:sz w:val="32"/>
          <w:szCs w:val="32"/>
        </w:rPr>
        <w:t>应按最小授权原则开放业务必需的服务、端口和地址范围，入站、出站方向均按需控制；</w:t>
      </w:r>
    </w:p>
    <w:p w14:paraId="62ED7934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9.4</w:t>
      </w:r>
      <w:r>
        <w:rPr>
          <w:rFonts w:hint="eastAsia" w:ascii="仿宋_GB2312" w:hAnsi="仿宋_GB2312" w:eastAsia="仿宋_GB2312" w:cs="仿宋_GB2312"/>
          <w:sz w:val="32"/>
          <w:szCs w:val="32"/>
        </w:rPr>
        <w:t>网络区域应至少划分互联网区、DMZ区、服务器区、办公区、运维管理区，区域间通信逐条授权；</w:t>
      </w:r>
    </w:p>
    <w:p w14:paraId="693AB0D3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第十条 禁止性要求</w:t>
      </w:r>
    </w:p>
    <w:p w14:paraId="584568FC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10.1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禁止存在任意到任意（any-to-any）的放行策略；</w:t>
      </w:r>
    </w:p>
    <w:p w14:paraId="7002A97C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10.2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禁止对互联网开放高危服务端口，包括远程桌面3389、SSH 22、Telnet 23、FTP 21、数据库1433/3306/1521/6379/9200、文件共享445/135-139等，确需远程运维的必须经VPN或堡垒机；</w:t>
      </w:r>
    </w:p>
    <w:p w14:paraId="2F48A196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10.3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禁止临时放通策略长期不回收；</w:t>
      </w:r>
    </w:p>
    <w:p w14:paraId="0FF18ED9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10.4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禁止未经审批擅自变更安全策略。</w:t>
      </w:r>
    </w:p>
    <w:p w14:paraId="53553783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第十一条 策略设计与变更管理</w:t>
      </w:r>
    </w:p>
    <w:p w14:paraId="23BC514A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11.1</w:t>
      </w:r>
      <w:r>
        <w:rPr>
          <w:rFonts w:hint="eastAsia" w:ascii="仿宋_GB2312" w:hAnsi="仿宋_GB2312" w:eastAsia="仿宋_GB2312" w:cs="仿宋_GB2312"/>
          <w:sz w:val="32"/>
          <w:szCs w:val="32"/>
        </w:rPr>
        <w:t>每条策略应填写描述，注明用途、申请人、审批人和有效期；</w:t>
      </w:r>
    </w:p>
    <w:p w14:paraId="2BE1EB79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11.2</w:t>
      </w:r>
      <w:r>
        <w:rPr>
          <w:rFonts w:hint="eastAsia" w:ascii="仿宋_GB2312" w:hAnsi="仿宋_GB2312" w:eastAsia="仿宋_GB2312" w:cs="仿宋_GB2312"/>
          <w:sz w:val="32"/>
          <w:szCs w:val="32"/>
        </w:rPr>
        <w:t>对重要业务应设置并发连接数与新建连接速率限制，防止资源耗尽；</w:t>
      </w:r>
    </w:p>
    <w:p w14:paraId="12FA6C49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11.3</w:t>
      </w:r>
      <w:r>
        <w:rPr>
          <w:rFonts w:hint="eastAsia" w:ascii="仿宋_GB2312" w:hAnsi="仿宋_GB2312" w:eastAsia="仿宋_GB2312" w:cs="仿宋_GB2312"/>
          <w:sz w:val="32"/>
          <w:szCs w:val="32"/>
        </w:rPr>
        <w:t>应启用应用识别，阻断未经审批的高风险应用（如远程控制类、代理翻墙类）；</w:t>
      </w:r>
    </w:p>
    <w:p w14:paraId="7477017A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11.4</w:t>
      </w:r>
      <w:r>
        <w:rPr>
          <w:rFonts w:hint="eastAsia" w:ascii="仿宋_GB2312" w:hAnsi="仿宋_GB2312" w:eastAsia="仿宋_GB2312" w:cs="仿宋_GB2312"/>
          <w:sz w:val="32"/>
          <w:szCs w:val="32"/>
        </w:rPr>
        <w:t>宜启用URL过滤，拦截恶意URL和钓鱼网站（具备相应能力时）；</w:t>
      </w:r>
    </w:p>
    <w:p w14:paraId="4DF03858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11.5</w:t>
      </w:r>
      <w:r>
        <w:rPr>
          <w:rFonts w:hint="eastAsia" w:ascii="仿宋_GB2312" w:hAnsi="仿宋_GB2312" w:eastAsia="仿宋_GB2312" w:cs="仿宋_GB2312"/>
          <w:sz w:val="32"/>
          <w:szCs w:val="32"/>
        </w:rPr>
        <w:t>应定期（建议每季度）清理冗余策略、重叠（影子）策略、过期策略和长期零命中策略，保证策略数量最小化；</w:t>
      </w:r>
    </w:p>
    <w:p w14:paraId="2328DFC6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11.6</w:t>
      </w:r>
      <w:r>
        <w:rPr>
          <w:rFonts w:hint="eastAsia" w:ascii="仿宋_GB2312" w:hAnsi="仿宋_GB2312" w:eastAsia="仿宋_GB2312" w:cs="仿宋_GB2312"/>
          <w:sz w:val="32"/>
          <w:szCs w:val="32"/>
        </w:rPr>
        <w:t>策略变更应执行“申请→审批→变更→验证→记录”流程，变更记录留存备查。</w:t>
      </w:r>
    </w:p>
    <w:p w14:paraId="082C325C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65E37554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第四章  安全防护功能管理</w:t>
      </w:r>
    </w:p>
    <w:p w14:paraId="48C53635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第十二条 入侵防范</w:t>
      </w:r>
    </w:p>
    <w:p w14:paraId="656D093F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12.1</w:t>
      </w:r>
      <w:r>
        <w:rPr>
          <w:rFonts w:hint="eastAsia" w:ascii="仿宋_GB2312" w:hAnsi="仿宋_GB2312" w:eastAsia="仿宋_GB2312" w:cs="仿宋_GB2312"/>
          <w:sz w:val="32"/>
          <w:szCs w:val="32"/>
        </w:rPr>
        <w:t>应开启入侵防御（IPS）功能并设置为阻断模式，特征库保持最新；</w:t>
      </w:r>
    </w:p>
    <w:p w14:paraId="07AE873C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12.2</w:t>
      </w:r>
      <w:r>
        <w:rPr>
          <w:rFonts w:hint="eastAsia" w:ascii="仿宋_GB2312" w:hAnsi="仿宋_GB2312" w:eastAsia="仿宋_GB2312" w:cs="仿宋_GB2312"/>
          <w:sz w:val="32"/>
          <w:szCs w:val="32"/>
        </w:rPr>
        <w:t>应同时检测并阻断从内部发起的网络攻击行为；</w:t>
      </w:r>
    </w:p>
    <w:p w14:paraId="4294434B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12.3</w:t>
      </w:r>
      <w:r>
        <w:rPr>
          <w:rFonts w:hint="eastAsia" w:ascii="仿宋_GB2312" w:hAnsi="仿宋_GB2312" w:eastAsia="仿宋_GB2312" w:cs="仿宋_GB2312"/>
          <w:sz w:val="32"/>
          <w:szCs w:val="32"/>
        </w:rPr>
        <w:t>设备支持时宜启用威胁情报联动，提升对新型网络攻击的检测能力；</w:t>
      </w:r>
    </w:p>
    <w:p w14:paraId="65A28285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12.4</w:t>
      </w:r>
      <w:r>
        <w:rPr>
          <w:rFonts w:hint="eastAsia" w:ascii="仿宋_GB2312" w:hAnsi="仿宋_GB2312" w:eastAsia="仿宋_GB2312" w:cs="仿宋_GB2312"/>
          <w:sz w:val="32"/>
          <w:szCs w:val="32"/>
        </w:rPr>
        <w:t>检测到攻击时，应记录攻击源IP、攻击类型、攻击目标、攻击时间，发生严重入侵事件时应告警通知管理员。</w:t>
      </w:r>
    </w:p>
    <w:p w14:paraId="100F0683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第十三条 恶意代码防范</w:t>
      </w:r>
    </w:p>
    <w:p w14:paraId="45E8B161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13.1</w:t>
      </w:r>
      <w:r>
        <w:rPr>
          <w:rFonts w:hint="eastAsia" w:ascii="仿宋_GB2312" w:hAnsi="仿宋_GB2312" w:eastAsia="仿宋_GB2312" w:cs="仿宋_GB2312"/>
          <w:sz w:val="32"/>
          <w:szCs w:val="32"/>
        </w:rPr>
        <w:t>应开启网关防病毒功能，对恶意代码进行检测和清除，病毒库自动更新并保持最新；</w:t>
      </w:r>
    </w:p>
    <w:p w14:paraId="2907FD57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13.2</w:t>
      </w:r>
      <w:r>
        <w:rPr>
          <w:rFonts w:hint="eastAsia" w:ascii="仿宋_GB2312" w:hAnsi="仿宋_GB2312" w:eastAsia="仿宋_GB2312" w:cs="仿宋_GB2312"/>
          <w:sz w:val="32"/>
          <w:szCs w:val="32"/>
        </w:rPr>
        <w:t>应定期检查恶意代码防护机制（病毒库、特征库）的升级情况并记录；</w:t>
      </w:r>
    </w:p>
    <w:p w14:paraId="4DCACDE5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13.3</w:t>
      </w:r>
      <w:r>
        <w:rPr>
          <w:rFonts w:hint="eastAsia" w:ascii="仿宋_GB2312" w:hAnsi="仿宋_GB2312" w:eastAsia="仿宋_GB2312" w:cs="仿宋_GB2312"/>
          <w:sz w:val="32"/>
          <w:szCs w:val="32"/>
        </w:rPr>
        <w:t>发现病毒或恶意代码事件时，应按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应急预案处理并及时上报。</w:t>
      </w:r>
    </w:p>
    <w:p w14:paraId="5E032776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第十四条 抗攻击与高可用管理</w:t>
      </w:r>
    </w:p>
    <w:p w14:paraId="1FBBAF88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14.1</w:t>
      </w:r>
      <w:r>
        <w:rPr>
          <w:rFonts w:hint="eastAsia" w:ascii="仿宋_GB2312" w:hAnsi="仿宋_GB2312" w:eastAsia="仿宋_GB2312" w:cs="仿宋_GB2312"/>
          <w:sz w:val="32"/>
          <w:szCs w:val="32"/>
        </w:rPr>
        <w:t>应开启SYN Flood、UDP Flood、ICMP Flood等拒绝服务攻击防护功能，阈值应结合业务基线设置并定期调优，防止误杀；</w:t>
      </w:r>
    </w:p>
    <w:p w14:paraId="7355CF79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14.2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服务器区等重要区域宜启用IP/MAC地址绑定，防范ARP欺骗；</w:t>
      </w:r>
    </w:p>
    <w:p w14:paraId="4C0523AE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14.3</w:t>
      </w:r>
      <w:r>
        <w:rPr>
          <w:rFonts w:hint="eastAsia" w:ascii="仿宋_GB2312" w:hAnsi="仿宋_GB2312" w:eastAsia="仿宋_GB2312" w:cs="仿宋_GB2312"/>
          <w:sz w:val="32"/>
          <w:szCs w:val="32"/>
        </w:rPr>
        <w:t>应制定防火墙故障应急预案，并定期开展配置恢复、主备切换演练。</w:t>
      </w:r>
    </w:p>
    <w:p w14:paraId="3F2948EB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46BD2CC5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第五章  检查与考核</w:t>
      </w:r>
    </w:p>
    <w:p w14:paraId="1FF32BFF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第十五条 日常运维管理</w:t>
      </w:r>
    </w:p>
    <w:p w14:paraId="551F597D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15.1</w:t>
      </w:r>
      <w:r>
        <w:rPr>
          <w:rFonts w:hint="eastAsia" w:ascii="仿宋_GB2312" w:hAnsi="仿宋_GB2312" w:eastAsia="仿宋_GB2312" w:cs="仿宋_GB2312"/>
          <w:sz w:val="32"/>
          <w:szCs w:val="32"/>
        </w:rPr>
        <w:t>每日查看告警与安全事件日志，确认特征库自动更新正常；</w:t>
      </w:r>
    </w:p>
    <w:p w14:paraId="6621D23F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15.2</w:t>
      </w:r>
      <w:r>
        <w:rPr>
          <w:rFonts w:hint="eastAsia" w:ascii="仿宋_GB2312" w:hAnsi="仿宋_GB2312" w:eastAsia="仿宋_GB2312" w:cs="仿宋_GB2312"/>
          <w:sz w:val="32"/>
          <w:szCs w:val="32"/>
        </w:rPr>
        <w:t>每周开展日志趋势分析，抽查备份文件；</w:t>
      </w:r>
    </w:p>
    <w:p w14:paraId="4F6C42EC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15.3</w:t>
      </w:r>
      <w:r>
        <w:rPr>
          <w:rFonts w:hint="eastAsia" w:ascii="仿宋_GB2312" w:hAnsi="仿宋_GB2312" w:eastAsia="仿宋_GB2312" w:cs="仿宋_GB2312"/>
          <w:sz w:val="32"/>
          <w:szCs w:val="32"/>
        </w:rPr>
        <w:t>每月复核账号与权限，汇总审查策略变更记录；</w:t>
      </w:r>
    </w:p>
    <w:p w14:paraId="00A3DC4F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15.4</w:t>
      </w:r>
      <w:r>
        <w:rPr>
          <w:rFonts w:hint="eastAsia" w:ascii="仿宋_GB2312" w:hAnsi="仿宋_GB2312" w:eastAsia="仿宋_GB2312" w:cs="仿宋_GB2312"/>
          <w:sz w:val="32"/>
          <w:szCs w:val="32"/>
        </w:rPr>
        <w:t>每季度开展安全策略审计，对照本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</w:t>
      </w:r>
      <w:r>
        <w:rPr>
          <w:rFonts w:hint="eastAsia" w:ascii="仿宋_GB2312" w:hAnsi="仿宋_GB2312" w:eastAsia="仿宋_GB2312" w:cs="仿宋_GB2312"/>
          <w:sz w:val="32"/>
          <w:szCs w:val="32"/>
        </w:rPr>
        <w:t>附表开展配置基线核查；</w:t>
      </w:r>
    </w:p>
    <w:p w14:paraId="1BCEADB6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15.5</w:t>
      </w:r>
      <w:r>
        <w:rPr>
          <w:rFonts w:hint="eastAsia" w:ascii="仿宋_GB2312" w:hAnsi="仿宋_GB2312" w:eastAsia="仿宋_GB2312" w:cs="仿宋_GB2312"/>
          <w:sz w:val="32"/>
          <w:szCs w:val="32"/>
        </w:rPr>
        <w:t>每半年组织应急预案演练，关注设备漏洞公告；</w:t>
      </w:r>
    </w:p>
    <w:p w14:paraId="7DDBC894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15.6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每年开展全面安全评估，配合网络安全等级保护测评整改。</w:t>
      </w:r>
    </w:p>
    <w:p w14:paraId="6BDEF7E7">
      <w:pPr>
        <w:pStyle w:val="1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第十六条 安全核查</w:t>
      </w:r>
    </w:p>
    <w:p w14:paraId="79D94913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16.1</w:t>
      </w:r>
      <w:r>
        <w:rPr>
          <w:rFonts w:hint="eastAsia" w:ascii="仿宋_GB2312" w:hAnsi="仿宋_GB2312" w:eastAsia="仿宋_GB2312" w:cs="仿宋_GB2312"/>
          <w:sz w:val="32"/>
          <w:szCs w:val="32"/>
        </w:rPr>
        <w:t>每季度对照《防火墙安全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配置</w:t>
      </w:r>
      <w:r>
        <w:rPr>
          <w:rFonts w:hint="eastAsia" w:ascii="仿宋_GB2312" w:hAnsi="仿宋_GB2312" w:eastAsia="仿宋_GB2312" w:cs="仿宋_GB2312"/>
          <w:sz w:val="32"/>
          <w:szCs w:val="32"/>
        </w:rPr>
        <w:t>核查清单》（见附表）对防火墙开展一次基线核查；</w:t>
      </w:r>
    </w:p>
    <w:p w14:paraId="75BDAF9F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16.2</w:t>
      </w:r>
      <w:r>
        <w:rPr>
          <w:rFonts w:hint="eastAsia" w:ascii="仿宋_GB2312" w:hAnsi="仿宋_GB2312" w:eastAsia="仿宋_GB2312" w:cs="仿宋_GB2312"/>
          <w:sz w:val="32"/>
          <w:szCs w:val="32"/>
        </w:rPr>
        <w:t>新设备上线前、重大变更后、安全事件处置后，应开展专项核查；</w:t>
      </w:r>
    </w:p>
    <w:p w14:paraId="7210E9AA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16.3</w:t>
      </w:r>
      <w:r>
        <w:rPr>
          <w:rFonts w:hint="eastAsia" w:ascii="仿宋_GB2312" w:hAnsi="仿宋_GB2312" w:eastAsia="仿宋_GB2312" w:cs="仿宋_GB2312"/>
          <w:sz w:val="32"/>
          <w:szCs w:val="32"/>
        </w:rPr>
        <w:t>核查发现的问题应形成整改清单，明确责任人和整改期限。</w:t>
      </w:r>
    </w:p>
    <w:p w14:paraId="6C35C6F0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16.4</w:t>
      </w:r>
      <w:r>
        <w:rPr>
          <w:rFonts w:hint="eastAsia" w:ascii="仿宋_GB2312" w:hAnsi="仿宋_GB2312" w:eastAsia="仿宋_GB2312" w:cs="仿宋_GB2312"/>
          <w:sz w:val="32"/>
          <w:szCs w:val="32"/>
        </w:rPr>
        <w:t>对核查发现的问题应限期整改，整改完成后进行复测验证；</w:t>
      </w:r>
    </w:p>
    <w:p w14:paraId="7B51457D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16.5</w:t>
      </w:r>
      <w:r>
        <w:rPr>
          <w:rFonts w:hint="eastAsia" w:ascii="仿宋_GB2312" w:hAnsi="仿宋_GB2312" w:eastAsia="仿宋_GB2312" w:cs="仿宋_GB2312"/>
          <w:sz w:val="32"/>
          <w:szCs w:val="32"/>
        </w:rPr>
        <w:t>整改情况应形成书面记录；</w:t>
      </w:r>
    </w:p>
    <w:p w14:paraId="1E21842F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16.6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对违反本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</w:t>
      </w:r>
      <w:r>
        <w:rPr>
          <w:rFonts w:hint="eastAsia" w:ascii="仿宋_GB2312" w:hAnsi="仿宋_GB2312" w:eastAsia="仿宋_GB2312" w:cs="仿宋_GB2312"/>
          <w:sz w:val="32"/>
          <w:szCs w:val="32"/>
        </w:rPr>
        <w:t>造成安全事故的，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可按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相关规定追究责任。</w:t>
      </w:r>
    </w:p>
    <w:p w14:paraId="3D174662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BB5C8C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3DE246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DF5764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6E0CCA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A557B8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6FAD4F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C0D7EA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85599E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862EE2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D1A0986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E01C8A">
      <w:pPr>
        <w:pStyle w:val="14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2B5A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附表</w:t>
      </w:r>
    </w:p>
    <w:p w14:paraId="1918FD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防火墙安全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配置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核查清单</w:t>
      </w:r>
    </w:p>
    <w:tbl>
      <w:tblPr>
        <w:tblStyle w:val="9"/>
        <w:tblW w:w="940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851"/>
        <w:gridCol w:w="4514"/>
        <w:gridCol w:w="2536"/>
      </w:tblGrid>
      <w:tr w14:paraId="6E3E2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715AAB6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类别</w:t>
            </w:r>
          </w:p>
        </w:tc>
        <w:tc>
          <w:tcPr>
            <w:tcW w:w="851" w:type="dxa"/>
          </w:tcPr>
          <w:p w14:paraId="39F984A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编号</w:t>
            </w:r>
          </w:p>
        </w:tc>
        <w:tc>
          <w:tcPr>
            <w:tcW w:w="4514" w:type="dxa"/>
          </w:tcPr>
          <w:p w14:paraId="11F53EC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检查项</w:t>
            </w:r>
          </w:p>
        </w:tc>
        <w:tc>
          <w:tcPr>
            <w:tcW w:w="2536" w:type="dxa"/>
          </w:tcPr>
          <w:p w14:paraId="77F8C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结论</w:t>
            </w:r>
          </w:p>
          <w:p w14:paraId="74E59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（符合/不符合/不适用）</w:t>
            </w:r>
          </w:p>
        </w:tc>
      </w:tr>
      <w:tr w14:paraId="75462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2355A77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 账号与认证</w:t>
            </w:r>
          </w:p>
        </w:tc>
        <w:tc>
          <w:tcPr>
            <w:tcW w:w="851" w:type="dxa"/>
          </w:tcPr>
          <w:p w14:paraId="02D3D71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A-01</w:t>
            </w:r>
          </w:p>
        </w:tc>
        <w:tc>
          <w:tcPr>
            <w:tcW w:w="4514" w:type="dxa"/>
          </w:tcPr>
          <w:p w14:paraId="79FCFBF7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【红线】默认管理账号已删除、禁用或重命名</w:t>
            </w:r>
          </w:p>
        </w:tc>
        <w:tc>
          <w:tcPr>
            <w:tcW w:w="2536" w:type="dxa"/>
          </w:tcPr>
          <w:p w14:paraId="451491E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FA59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43461CC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 账号与认证</w:t>
            </w:r>
          </w:p>
        </w:tc>
        <w:tc>
          <w:tcPr>
            <w:tcW w:w="851" w:type="dxa"/>
          </w:tcPr>
          <w:p w14:paraId="7A2CC4A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A-02</w:t>
            </w:r>
          </w:p>
        </w:tc>
        <w:tc>
          <w:tcPr>
            <w:tcW w:w="4514" w:type="dxa"/>
          </w:tcPr>
          <w:p w14:paraId="4CE97D4C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【红线】默认口令已修改</w:t>
            </w:r>
          </w:p>
        </w:tc>
        <w:tc>
          <w:tcPr>
            <w:tcW w:w="2536" w:type="dxa"/>
          </w:tcPr>
          <w:p w14:paraId="66D6F89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829B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558B7DD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 账号与认证</w:t>
            </w:r>
          </w:p>
        </w:tc>
        <w:tc>
          <w:tcPr>
            <w:tcW w:w="851" w:type="dxa"/>
          </w:tcPr>
          <w:p w14:paraId="17C0031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A-03</w:t>
            </w:r>
          </w:p>
        </w:tc>
        <w:tc>
          <w:tcPr>
            <w:tcW w:w="4514" w:type="dxa"/>
          </w:tcPr>
          <w:p w14:paraId="7D56FC5D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【红线】口令复杂度策略已启用（≥8位，3类字符）</w:t>
            </w:r>
          </w:p>
        </w:tc>
        <w:tc>
          <w:tcPr>
            <w:tcW w:w="2536" w:type="dxa"/>
          </w:tcPr>
          <w:p w14:paraId="0BA6535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615E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06FF19F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 账号与认证</w:t>
            </w:r>
          </w:p>
        </w:tc>
        <w:tc>
          <w:tcPr>
            <w:tcW w:w="851" w:type="dxa"/>
          </w:tcPr>
          <w:p w14:paraId="18A3145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A-04</w:t>
            </w:r>
          </w:p>
        </w:tc>
        <w:tc>
          <w:tcPr>
            <w:tcW w:w="4514" w:type="dxa"/>
          </w:tcPr>
          <w:p w14:paraId="017C5B2D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口令有效期≤90天</w:t>
            </w:r>
          </w:p>
        </w:tc>
        <w:tc>
          <w:tcPr>
            <w:tcW w:w="2536" w:type="dxa"/>
          </w:tcPr>
          <w:p w14:paraId="2AB38E2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4974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3759190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 账号与认证</w:t>
            </w:r>
          </w:p>
        </w:tc>
        <w:tc>
          <w:tcPr>
            <w:tcW w:w="851" w:type="dxa"/>
          </w:tcPr>
          <w:p w14:paraId="26A2A1E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A-05</w:t>
            </w:r>
          </w:p>
        </w:tc>
        <w:tc>
          <w:tcPr>
            <w:tcW w:w="4514" w:type="dxa"/>
          </w:tcPr>
          <w:p w14:paraId="60ACC1E2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【红线】登录失败5次锁定≥10分钟</w:t>
            </w:r>
          </w:p>
        </w:tc>
        <w:tc>
          <w:tcPr>
            <w:tcW w:w="2536" w:type="dxa"/>
          </w:tcPr>
          <w:p w14:paraId="5C3FABD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34DD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3A2FC8F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 账号与认证</w:t>
            </w:r>
          </w:p>
        </w:tc>
        <w:tc>
          <w:tcPr>
            <w:tcW w:w="851" w:type="dxa"/>
          </w:tcPr>
          <w:p w14:paraId="188668F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A-06</w:t>
            </w:r>
          </w:p>
        </w:tc>
        <w:tc>
          <w:tcPr>
            <w:tcW w:w="4514" w:type="dxa"/>
          </w:tcPr>
          <w:p w14:paraId="340115BA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会话超时≤10分钟</w:t>
            </w:r>
          </w:p>
        </w:tc>
        <w:tc>
          <w:tcPr>
            <w:tcW w:w="2536" w:type="dxa"/>
          </w:tcPr>
          <w:p w14:paraId="5825994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01E1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70C8F6C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 账号与认证</w:t>
            </w:r>
          </w:p>
        </w:tc>
        <w:tc>
          <w:tcPr>
            <w:tcW w:w="851" w:type="dxa"/>
          </w:tcPr>
          <w:p w14:paraId="5D8D7D4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A-07</w:t>
            </w:r>
          </w:p>
        </w:tc>
        <w:tc>
          <w:tcPr>
            <w:tcW w:w="4514" w:type="dxa"/>
          </w:tcPr>
          <w:p w14:paraId="358DDB35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】三权分立已实现</w:t>
            </w:r>
          </w:p>
        </w:tc>
        <w:tc>
          <w:tcPr>
            <w:tcW w:w="2536" w:type="dxa"/>
          </w:tcPr>
          <w:p w14:paraId="1C207DA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21F4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0" w:type="dxa"/>
          </w:tcPr>
          <w:p w14:paraId="2A576D8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 账号与认证</w:t>
            </w:r>
          </w:p>
        </w:tc>
        <w:tc>
          <w:tcPr>
            <w:tcW w:w="851" w:type="dxa"/>
          </w:tcPr>
          <w:p w14:paraId="5D4ABAC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A-08</w:t>
            </w:r>
          </w:p>
        </w:tc>
        <w:tc>
          <w:tcPr>
            <w:tcW w:w="4514" w:type="dxa"/>
          </w:tcPr>
          <w:p w14:paraId="1D620DE0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双因素/证书认证（重要设备）</w:t>
            </w:r>
          </w:p>
        </w:tc>
        <w:tc>
          <w:tcPr>
            <w:tcW w:w="2536" w:type="dxa"/>
          </w:tcPr>
          <w:p w14:paraId="2C225BF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11E4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2D9AD6C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 管理通道</w:t>
            </w:r>
          </w:p>
        </w:tc>
        <w:tc>
          <w:tcPr>
            <w:tcW w:w="851" w:type="dxa"/>
          </w:tcPr>
          <w:p w14:paraId="24EE2AD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B-01</w:t>
            </w:r>
          </w:p>
        </w:tc>
        <w:tc>
          <w:tcPr>
            <w:tcW w:w="4514" w:type="dxa"/>
          </w:tcPr>
          <w:p w14:paraId="5CDFF53F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【红线】HTTP/Telnet管理已禁用</w:t>
            </w:r>
          </w:p>
        </w:tc>
        <w:tc>
          <w:tcPr>
            <w:tcW w:w="2536" w:type="dxa"/>
          </w:tcPr>
          <w:p w14:paraId="0372EE9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8EB5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186F6C6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 管理通道</w:t>
            </w:r>
          </w:p>
        </w:tc>
        <w:tc>
          <w:tcPr>
            <w:tcW w:w="851" w:type="dxa"/>
          </w:tcPr>
          <w:p w14:paraId="444E603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B-02</w:t>
            </w:r>
          </w:p>
        </w:tc>
        <w:tc>
          <w:tcPr>
            <w:tcW w:w="4514" w:type="dxa"/>
          </w:tcPr>
          <w:p w14:paraId="1DED490E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【红线】启用HTTPS/SSH管理</w:t>
            </w:r>
          </w:p>
        </w:tc>
        <w:tc>
          <w:tcPr>
            <w:tcW w:w="2536" w:type="dxa"/>
          </w:tcPr>
          <w:p w14:paraId="63DDB67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4000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2DBA145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 管理通道</w:t>
            </w:r>
          </w:p>
        </w:tc>
        <w:tc>
          <w:tcPr>
            <w:tcW w:w="851" w:type="dxa"/>
          </w:tcPr>
          <w:p w14:paraId="2171C3C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B-03</w:t>
            </w:r>
          </w:p>
        </w:tc>
        <w:tc>
          <w:tcPr>
            <w:tcW w:w="4514" w:type="dxa"/>
          </w:tcPr>
          <w:p w14:paraId="1239823D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【红线】管理源地址已限制</w:t>
            </w:r>
          </w:p>
        </w:tc>
        <w:tc>
          <w:tcPr>
            <w:tcW w:w="2536" w:type="dxa"/>
          </w:tcPr>
          <w:p w14:paraId="204E2B9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B95A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55C69D2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 管理通道</w:t>
            </w:r>
          </w:p>
        </w:tc>
        <w:tc>
          <w:tcPr>
            <w:tcW w:w="851" w:type="dxa"/>
          </w:tcPr>
          <w:p w14:paraId="06004D2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B-04</w:t>
            </w:r>
          </w:p>
        </w:tc>
        <w:tc>
          <w:tcPr>
            <w:tcW w:w="4514" w:type="dxa"/>
          </w:tcPr>
          <w:p w14:paraId="52E1CC41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未使用管理接口已关闭</w:t>
            </w:r>
          </w:p>
        </w:tc>
        <w:tc>
          <w:tcPr>
            <w:tcW w:w="2536" w:type="dxa"/>
          </w:tcPr>
          <w:p w14:paraId="55D5A7D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2D7C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4C3CCE7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 管理通道</w:t>
            </w:r>
          </w:p>
        </w:tc>
        <w:tc>
          <w:tcPr>
            <w:tcW w:w="851" w:type="dxa"/>
          </w:tcPr>
          <w:p w14:paraId="4A58994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B-05</w:t>
            </w:r>
          </w:p>
        </w:tc>
        <w:tc>
          <w:tcPr>
            <w:tcW w:w="4514" w:type="dxa"/>
          </w:tcPr>
          <w:p w14:paraId="4C7844F0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登录警示语已设置</w:t>
            </w:r>
          </w:p>
        </w:tc>
        <w:tc>
          <w:tcPr>
            <w:tcW w:w="2536" w:type="dxa"/>
          </w:tcPr>
          <w:p w14:paraId="59E8E4F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2E74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0E04130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 管理通道</w:t>
            </w:r>
          </w:p>
        </w:tc>
        <w:tc>
          <w:tcPr>
            <w:tcW w:w="851" w:type="dxa"/>
          </w:tcPr>
          <w:p w14:paraId="73A697C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B-06</w:t>
            </w:r>
          </w:p>
        </w:tc>
        <w:tc>
          <w:tcPr>
            <w:tcW w:w="4514" w:type="dxa"/>
          </w:tcPr>
          <w:p w14:paraId="2914C604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【红线】管理面未暴露互联网</w:t>
            </w:r>
          </w:p>
        </w:tc>
        <w:tc>
          <w:tcPr>
            <w:tcW w:w="2536" w:type="dxa"/>
          </w:tcPr>
          <w:p w14:paraId="60C402C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789C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4E7679C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 管理通道</w:t>
            </w:r>
          </w:p>
        </w:tc>
        <w:tc>
          <w:tcPr>
            <w:tcW w:w="851" w:type="dxa"/>
          </w:tcPr>
          <w:p w14:paraId="06C9BE1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B-07</w:t>
            </w:r>
          </w:p>
        </w:tc>
        <w:tc>
          <w:tcPr>
            <w:tcW w:w="4514" w:type="dxa"/>
          </w:tcPr>
          <w:p w14:paraId="5BC5AD6D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默认管理端口已修改</w:t>
            </w:r>
          </w:p>
        </w:tc>
        <w:tc>
          <w:tcPr>
            <w:tcW w:w="2536" w:type="dxa"/>
          </w:tcPr>
          <w:p w14:paraId="6B8A65C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9D8A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050A13C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 服务与协议</w:t>
            </w:r>
          </w:p>
        </w:tc>
        <w:tc>
          <w:tcPr>
            <w:tcW w:w="851" w:type="dxa"/>
          </w:tcPr>
          <w:p w14:paraId="40C6A3C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C-01</w:t>
            </w:r>
          </w:p>
        </w:tc>
        <w:tc>
          <w:tcPr>
            <w:tcW w:w="4514" w:type="dxa"/>
          </w:tcPr>
          <w:p w14:paraId="3A40320E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【红线】SNMP已禁用或使用v3</w:t>
            </w:r>
          </w:p>
        </w:tc>
        <w:tc>
          <w:tcPr>
            <w:tcW w:w="2536" w:type="dxa"/>
          </w:tcPr>
          <w:p w14:paraId="305D042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0B79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0341011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 服务与协议</w:t>
            </w:r>
          </w:p>
        </w:tc>
        <w:tc>
          <w:tcPr>
            <w:tcW w:w="851" w:type="dxa"/>
          </w:tcPr>
          <w:p w14:paraId="285C998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C-02</w:t>
            </w:r>
          </w:p>
        </w:tc>
        <w:tc>
          <w:tcPr>
            <w:tcW w:w="4514" w:type="dxa"/>
          </w:tcPr>
          <w:p w14:paraId="4E5DFCD8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【红线】团体名非默认public/private</w:t>
            </w:r>
          </w:p>
        </w:tc>
        <w:tc>
          <w:tcPr>
            <w:tcW w:w="2536" w:type="dxa"/>
          </w:tcPr>
          <w:p w14:paraId="7B3C4DD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B432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6B288C0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 服务与协议</w:t>
            </w:r>
          </w:p>
        </w:tc>
        <w:tc>
          <w:tcPr>
            <w:tcW w:w="851" w:type="dxa"/>
          </w:tcPr>
          <w:p w14:paraId="14A2EE2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C-03</w:t>
            </w:r>
          </w:p>
        </w:tc>
        <w:tc>
          <w:tcPr>
            <w:tcW w:w="4514" w:type="dxa"/>
          </w:tcPr>
          <w:p w14:paraId="64B0E811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非必要服务已关闭</w:t>
            </w:r>
          </w:p>
        </w:tc>
        <w:tc>
          <w:tcPr>
            <w:tcW w:w="2536" w:type="dxa"/>
          </w:tcPr>
          <w:p w14:paraId="3C8D2BF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18A6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69E1EFE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 服务与协议</w:t>
            </w:r>
          </w:p>
        </w:tc>
        <w:tc>
          <w:tcPr>
            <w:tcW w:w="851" w:type="dxa"/>
          </w:tcPr>
          <w:p w14:paraId="73D8CFF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C-04</w:t>
            </w:r>
          </w:p>
        </w:tc>
        <w:tc>
          <w:tcPr>
            <w:tcW w:w="4514" w:type="dxa"/>
          </w:tcPr>
          <w:p w14:paraId="590FCD12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未使用接口已关闭</w:t>
            </w:r>
          </w:p>
        </w:tc>
        <w:tc>
          <w:tcPr>
            <w:tcW w:w="2536" w:type="dxa"/>
          </w:tcPr>
          <w:p w14:paraId="048D28B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E017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774AE67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 日志与审计</w:t>
            </w:r>
          </w:p>
        </w:tc>
        <w:tc>
          <w:tcPr>
            <w:tcW w:w="851" w:type="dxa"/>
          </w:tcPr>
          <w:p w14:paraId="777E98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D-01</w:t>
            </w:r>
          </w:p>
        </w:tc>
        <w:tc>
          <w:tcPr>
            <w:tcW w:w="4514" w:type="dxa"/>
          </w:tcPr>
          <w:p w14:paraId="7F73E8BD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【红线】NTP时间同步已配置</w:t>
            </w:r>
          </w:p>
        </w:tc>
        <w:tc>
          <w:tcPr>
            <w:tcW w:w="2536" w:type="dxa"/>
          </w:tcPr>
          <w:p w14:paraId="2A18673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781E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6B88B5F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 日志与审计</w:t>
            </w:r>
          </w:p>
        </w:tc>
        <w:tc>
          <w:tcPr>
            <w:tcW w:w="851" w:type="dxa"/>
          </w:tcPr>
          <w:p w14:paraId="585F71F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D-02</w:t>
            </w:r>
          </w:p>
        </w:tc>
        <w:tc>
          <w:tcPr>
            <w:tcW w:w="4514" w:type="dxa"/>
          </w:tcPr>
          <w:p w14:paraId="0F535DD2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【红线】审计功能全部开启</w:t>
            </w:r>
          </w:p>
        </w:tc>
        <w:tc>
          <w:tcPr>
            <w:tcW w:w="2536" w:type="dxa"/>
          </w:tcPr>
          <w:p w14:paraId="6D995C5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5602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533D89F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 日志与审计</w:t>
            </w:r>
          </w:p>
        </w:tc>
        <w:tc>
          <w:tcPr>
            <w:tcW w:w="851" w:type="dxa"/>
          </w:tcPr>
          <w:p w14:paraId="0194C74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D-03</w:t>
            </w:r>
          </w:p>
        </w:tc>
        <w:tc>
          <w:tcPr>
            <w:tcW w:w="4514" w:type="dxa"/>
          </w:tcPr>
          <w:p w14:paraId="12F8D1BD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】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yslog外发至审计平台</w:t>
            </w:r>
          </w:p>
        </w:tc>
        <w:tc>
          <w:tcPr>
            <w:tcW w:w="2536" w:type="dxa"/>
          </w:tcPr>
          <w:p w14:paraId="72C934C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C5DB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1E2EB25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 日志与审计</w:t>
            </w:r>
          </w:p>
        </w:tc>
        <w:tc>
          <w:tcPr>
            <w:tcW w:w="851" w:type="dxa"/>
          </w:tcPr>
          <w:p w14:paraId="4414033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D-04</w:t>
            </w:r>
          </w:p>
        </w:tc>
        <w:tc>
          <w:tcPr>
            <w:tcW w:w="4514" w:type="dxa"/>
          </w:tcPr>
          <w:p w14:paraId="65857261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】日志留存≥6个月</w:t>
            </w:r>
          </w:p>
        </w:tc>
        <w:tc>
          <w:tcPr>
            <w:tcW w:w="2536" w:type="dxa"/>
          </w:tcPr>
          <w:p w14:paraId="33B9128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BAEA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714F6AD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 日志与审计</w:t>
            </w:r>
          </w:p>
        </w:tc>
        <w:tc>
          <w:tcPr>
            <w:tcW w:w="851" w:type="dxa"/>
          </w:tcPr>
          <w:p w14:paraId="3836B78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D-05</w:t>
            </w:r>
          </w:p>
        </w:tc>
        <w:tc>
          <w:tcPr>
            <w:tcW w:w="4514" w:type="dxa"/>
          </w:tcPr>
          <w:p w14:paraId="09625850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日志删除/修改权限已管控</w:t>
            </w:r>
          </w:p>
        </w:tc>
        <w:tc>
          <w:tcPr>
            <w:tcW w:w="2536" w:type="dxa"/>
          </w:tcPr>
          <w:p w14:paraId="6CCBB27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4318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5FE68F3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 日志与审计</w:t>
            </w:r>
          </w:p>
        </w:tc>
        <w:tc>
          <w:tcPr>
            <w:tcW w:w="851" w:type="dxa"/>
          </w:tcPr>
          <w:p w14:paraId="28D5DE5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D-06</w:t>
            </w:r>
          </w:p>
        </w:tc>
        <w:tc>
          <w:tcPr>
            <w:tcW w:w="4514" w:type="dxa"/>
          </w:tcPr>
          <w:p w14:paraId="17327C9E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】审计管理员独立设置</w:t>
            </w:r>
          </w:p>
        </w:tc>
        <w:tc>
          <w:tcPr>
            <w:tcW w:w="2536" w:type="dxa"/>
          </w:tcPr>
          <w:p w14:paraId="354B025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F061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118F49F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 日志与审计</w:t>
            </w:r>
          </w:p>
        </w:tc>
        <w:tc>
          <w:tcPr>
            <w:tcW w:w="851" w:type="dxa"/>
          </w:tcPr>
          <w:p w14:paraId="2E66004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D-07</w:t>
            </w:r>
          </w:p>
        </w:tc>
        <w:tc>
          <w:tcPr>
            <w:tcW w:w="4514" w:type="dxa"/>
          </w:tcPr>
          <w:p w14:paraId="7722DC3D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日志定期备份</w:t>
            </w:r>
          </w:p>
        </w:tc>
        <w:tc>
          <w:tcPr>
            <w:tcW w:w="2536" w:type="dxa"/>
          </w:tcPr>
          <w:p w14:paraId="262654E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BD46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2CDD3FA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 安全策略</w:t>
            </w:r>
          </w:p>
        </w:tc>
        <w:tc>
          <w:tcPr>
            <w:tcW w:w="851" w:type="dxa"/>
          </w:tcPr>
          <w:p w14:paraId="213CC79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E-01</w:t>
            </w:r>
          </w:p>
        </w:tc>
        <w:tc>
          <w:tcPr>
            <w:tcW w:w="4514" w:type="dxa"/>
          </w:tcPr>
          <w:p w14:paraId="43335691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【红线】无any-to-any放行策略</w:t>
            </w:r>
          </w:p>
        </w:tc>
        <w:tc>
          <w:tcPr>
            <w:tcW w:w="2536" w:type="dxa"/>
          </w:tcPr>
          <w:p w14:paraId="53F34A2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AA8F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605AB0A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 安全策略</w:t>
            </w:r>
          </w:p>
        </w:tc>
        <w:tc>
          <w:tcPr>
            <w:tcW w:w="851" w:type="dxa"/>
          </w:tcPr>
          <w:p w14:paraId="70D7776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E-02</w:t>
            </w:r>
          </w:p>
        </w:tc>
        <w:tc>
          <w:tcPr>
            <w:tcW w:w="4514" w:type="dxa"/>
          </w:tcPr>
          <w:p w14:paraId="283E4525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【红线】默认拒绝已落实</w:t>
            </w:r>
          </w:p>
        </w:tc>
        <w:tc>
          <w:tcPr>
            <w:tcW w:w="2536" w:type="dxa"/>
          </w:tcPr>
          <w:p w14:paraId="0B481CB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E69F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400D332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 安全策略</w:t>
            </w:r>
          </w:p>
        </w:tc>
        <w:tc>
          <w:tcPr>
            <w:tcW w:w="851" w:type="dxa"/>
          </w:tcPr>
          <w:p w14:paraId="6965B47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E-03</w:t>
            </w:r>
          </w:p>
        </w:tc>
        <w:tc>
          <w:tcPr>
            <w:tcW w:w="4514" w:type="dxa"/>
          </w:tcPr>
          <w:p w14:paraId="45CB30C2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【红线】高危端口未对互联网开放</w:t>
            </w:r>
          </w:p>
        </w:tc>
        <w:tc>
          <w:tcPr>
            <w:tcW w:w="2536" w:type="dxa"/>
          </w:tcPr>
          <w:p w14:paraId="79F8D1D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F03A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55B5F90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 安全策略</w:t>
            </w:r>
          </w:p>
        </w:tc>
        <w:tc>
          <w:tcPr>
            <w:tcW w:w="851" w:type="dxa"/>
          </w:tcPr>
          <w:p w14:paraId="2996B97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E-04</w:t>
            </w:r>
          </w:p>
        </w:tc>
        <w:tc>
          <w:tcPr>
            <w:tcW w:w="4514" w:type="dxa"/>
          </w:tcPr>
          <w:p w14:paraId="5FBA07BC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每条策略均有描述/责任人/有效期</w:t>
            </w:r>
          </w:p>
        </w:tc>
        <w:tc>
          <w:tcPr>
            <w:tcW w:w="2536" w:type="dxa"/>
          </w:tcPr>
          <w:p w14:paraId="0A0A514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62C9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5A57CFA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 安全策略</w:t>
            </w:r>
          </w:p>
        </w:tc>
        <w:tc>
          <w:tcPr>
            <w:tcW w:w="851" w:type="dxa"/>
          </w:tcPr>
          <w:p w14:paraId="3B51EB2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E-05</w:t>
            </w:r>
          </w:p>
        </w:tc>
        <w:tc>
          <w:tcPr>
            <w:tcW w:w="4514" w:type="dxa"/>
          </w:tcPr>
          <w:p w14:paraId="16A14ACE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冗余/影子/过期策略已清理</w:t>
            </w:r>
          </w:p>
        </w:tc>
        <w:tc>
          <w:tcPr>
            <w:tcW w:w="2536" w:type="dxa"/>
          </w:tcPr>
          <w:p w14:paraId="056B6BD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5A92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3F4BBEC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 安全策略</w:t>
            </w:r>
          </w:p>
        </w:tc>
        <w:tc>
          <w:tcPr>
            <w:tcW w:w="851" w:type="dxa"/>
          </w:tcPr>
          <w:p w14:paraId="6C351E4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E-06</w:t>
            </w:r>
          </w:p>
        </w:tc>
        <w:tc>
          <w:tcPr>
            <w:tcW w:w="4514" w:type="dxa"/>
          </w:tcPr>
          <w:p w14:paraId="5E628D60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重要业务会话数/流量限制</w:t>
            </w:r>
          </w:p>
        </w:tc>
        <w:tc>
          <w:tcPr>
            <w:tcW w:w="2536" w:type="dxa"/>
          </w:tcPr>
          <w:p w14:paraId="14DA812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6B9D9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6FDC1C4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 安全策略</w:t>
            </w:r>
          </w:p>
        </w:tc>
        <w:tc>
          <w:tcPr>
            <w:tcW w:w="851" w:type="dxa"/>
          </w:tcPr>
          <w:p w14:paraId="789C2A1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E-07</w:t>
            </w:r>
          </w:p>
        </w:tc>
        <w:tc>
          <w:tcPr>
            <w:tcW w:w="4514" w:type="dxa"/>
          </w:tcPr>
          <w:p w14:paraId="72914E96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应用识别/URL过滤已启用</w:t>
            </w:r>
          </w:p>
        </w:tc>
        <w:tc>
          <w:tcPr>
            <w:tcW w:w="2536" w:type="dxa"/>
          </w:tcPr>
          <w:p w14:paraId="43E37C9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4C68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01B6DF8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 安全策略</w:t>
            </w:r>
          </w:p>
        </w:tc>
        <w:tc>
          <w:tcPr>
            <w:tcW w:w="851" w:type="dxa"/>
          </w:tcPr>
          <w:p w14:paraId="49FCBBC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E-08</w:t>
            </w:r>
          </w:p>
        </w:tc>
        <w:tc>
          <w:tcPr>
            <w:tcW w:w="4514" w:type="dxa"/>
          </w:tcPr>
          <w:p w14:paraId="79BC30F6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策略变更有审批记录</w:t>
            </w:r>
          </w:p>
        </w:tc>
        <w:tc>
          <w:tcPr>
            <w:tcW w:w="2536" w:type="dxa"/>
          </w:tcPr>
          <w:p w14:paraId="5375257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3E70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3CC1175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 安全策略</w:t>
            </w:r>
          </w:p>
        </w:tc>
        <w:tc>
          <w:tcPr>
            <w:tcW w:w="851" w:type="dxa"/>
          </w:tcPr>
          <w:p w14:paraId="1AD4ACD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E-09</w:t>
            </w:r>
          </w:p>
        </w:tc>
        <w:tc>
          <w:tcPr>
            <w:tcW w:w="4514" w:type="dxa"/>
          </w:tcPr>
          <w:p w14:paraId="6D83ADAF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【红线】出方向按需控制</w:t>
            </w:r>
          </w:p>
        </w:tc>
        <w:tc>
          <w:tcPr>
            <w:tcW w:w="2536" w:type="dxa"/>
          </w:tcPr>
          <w:p w14:paraId="5CCB005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D684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4681DC1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 安全策略</w:t>
            </w:r>
          </w:p>
        </w:tc>
        <w:tc>
          <w:tcPr>
            <w:tcW w:w="851" w:type="dxa"/>
          </w:tcPr>
          <w:p w14:paraId="7069B22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E-10</w:t>
            </w:r>
          </w:p>
        </w:tc>
        <w:tc>
          <w:tcPr>
            <w:tcW w:w="4514" w:type="dxa"/>
          </w:tcPr>
          <w:p w14:paraId="4AF48F82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区域划分合理、逐条授权</w:t>
            </w:r>
          </w:p>
        </w:tc>
        <w:tc>
          <w:tcPr>
            <w:tcW w:w="2536" w:type="dxa"/>
          </w:tcPr>
          <w:p w14:paraId="3FC0E3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21EA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7CA287E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 防护功能</w:t>
            </w:r>
          </w:p>
        </w:tc>
        <w:tc>
          <w:tcPr>
            <w:tcW w:w="851" w:type="dxa"/>
          </w:tcPr>
          <w:p w14:paraId="3FCB833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F-01</w:t>
            </w:r>
          </w:p>
        </w:tc>
        <w:tc>
          <w:tcPr>
            <w:tcW w:w="4514" w:type="dxa"/>
          </w:tcPr>
          <w:p w14:paraId="73B686C0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【红线】IPS已开启且为阻断模式</w:t>
            </w:r>
          </w:p>
        </w:tc>
        <w:tc>
          <w:tcPr>
            <w:tcW w:w="2536" w:type="dxa"/>
          </w:tcPr>
          <w:p w14:paraId="32237CD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A584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56C16E7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 防护功能</w:t>
            </w:r>
          </w:p>
        </w:tc>
        <w:tc>
          <w:tcPr>
            <w:tcW w:w="851" w:type="dxa"/>
          </w:tcPr>
          <w:p w14:paraId="7D3189A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F-02</w:t>
            </w:r>
          </w:p>
        </w:tc>
        <w:tc>
          <w:tcPr>
            <w:tcW w:w="4514" w:type="dxa"/>
          </w:tcPr>
          <w:p w14:paraId="0852110D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【红线】特征库/病毒库为最新</w:t>
            </w:r>
          </w:p>
        </w:tc>
        <w:tc>
          <w:tcPr>
            <w:tcW w:w="2536" w:type="dxa"/>
          </w:tcPr>
          <w:p w14:paraId="3ABD541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A8A4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3BEE261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 防护功能</w:t>
            </w:r>
          </w:p>
        </w:tc>
        <w:tc>
          <w:tcPr>
            <w:tcW w:w="851" w:type="dxa"/>
          </w:tcPr>
          <w:p w14:paraId="56818E0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F-03</w:t>
            </w:r>
          </w:p>
        </w:tc>
        <w:tc>
          <w:tcPr>
            <w:tcW w:w="4514" w:type="dxa"/>
          </w:tcPr>
          <w:p w14:paraId="479A6AB2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网关防病毒已开启</w:t>
            </w:r>
          </w:p>
        </w:tc>
        <w:tc>
          <w:tcPr>
            <w:tcW w:w="2536" w:type="dxa"/>
          </w:tcPr>
          <w:p w14:paraId="5C15524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7AD7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33B46D5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 防护功能</w:t>
            </w:r>
          </w:p>
        </w:tc>
        <w:tc>
          <w:tcPr>
            <w:tcW w:w="851" w:type="dxa"/>
          </w:tcPr>
          <w:p w14:paraId="14CA8D0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F-04</w:t>
            </w:r>
          </w:p>
        </w:tc>
        <w:tc>
          <w:tcPr>
            <w:tcW w:w="4514" w:type="dxa"/>
          </w:tcPr>
          <w:p w14:paraId="22E1158B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Flood防护已开启</w:t>
            </w:r>
          </w:p>
        </w:tc>
        <w:tc>
          <w:tcPr>
            <w:tcW w:w="2536" w:type="dxa"/>
          </w:tcPr>
          <w:p w14:paraId="5CB773B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45F9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4B4188C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 防护功能</w:t>
            </w:r>
          </w:p>
        </w:tc>
        <w:tc>
          <w:tcPr>
            <w:tcW w:w="851" w:type="dxa"/>
          </w:tcPr>
          <w:p w14:paraId="1BD08D9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F-05</w:t>
            </w:r>
          </w:p>
        </w:tc>
        <w:tc>
          <w:tcPr>
            <w:tcW w:w="4514" w:type="dxa"/>
          </w:tcPr>
          <w:p w14:paraId="0FDA3A70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重要区域IP/MAC绑定</w:t>
            </w:r>
          </w:p>
        </w:tc>
        <w:tc>
          <w:tcPr>
            <w:tcW w:w="2536" w:type="dxa"/>
          </w:tcPr>
          <w:p w14:paraId="587E47F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20A8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17069F1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 防护功能</w:t>
            </w:r>
          </w:p>
        </w:tc>
        <w:tc>
          <w:tcPr>
            <w:tcW w:w="851" w:type="dxa"/>
          </w:tcPr>
          <w:p w14:paraId="181C7D7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F-06</w:t>
            </w:r>
          </w:p>
        </w:tc>
        <w:tc>
          <w:tcPr>
            <w:tcW w:w="4514" w:type="dxa"/>
          </w:tcPr>
          <w:p w14:paraId="75793819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攻击告警通知已配置</w:t>
            </w:r>
          </w:p>
        </w:tc>
        <w:tc>
          <w:tcPr>
            <w:tcW w:w="2536" w:type="dxa"/>
          </w:tcPr>
          <w:p w14:paraId="7CF8F00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7741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0699CE4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 运维管理</w:t>
            </w:r>
          </w:p>
        </w:tc>
        <w:tc>
          <w:tcPr>
            <w:tcW w:w="851" w:type="dxa"/>
          </w:tcPr>
          <w:p w14:paraId="4347A08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G-01</w:t>
            </w:r>
          </w:p>
        </w:tc>
        <w:tc>
          <w:tcPr>
            <w:tcW w:w="4514" w:type="dxa"/>
          </w:tcPr>
          <w:p w14:paraId="6ADC1D29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【红线】固件无已知高危漏洞</w:t>
            </w:r>
          </w:p>
        </w:tc>
        <w:tc>
          <w:tcPr>
            <w:tcW w:w="2536" w:type="dxa"/>
          </w:tcPr>
          <w:p w14:paraId="33D5B9E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5487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78531E5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 运维管理</w:t>
            </w:r>
          </w:p>
        </w:tc>
        <w:tc>
          <w:tcPr>
            <w:tcW w:w="851" w:type="dxa"/>
          </w:tcPr>
          <w:p w14:paraId="66BCA63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G-02</w:t>
            </w:r>
          </w:p>
        </w:tc>
        <w:tc>
          <w:tcPr>
            <w:tcW w:w="4514" w:type="dxa"/>
          </w:tcPr>
          <w:p w14:paraId="7FA6A3B7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】变更前备份+定期自动备份</w:t>
            </w:r>
          </w:p>
        </w:tc>
        <w:tc>
          <w:tcPr>
            <w:tcW w:w="2536" w:type="dxa"/>
          </w:tcPr>
          <w:p w14:paraId="1C17312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4D9D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76149EB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 运维管理</w:t>
            </w:r>
          </w:p>
        </w:tc>
        <w:tc>
          <w:tcPr>
            <w:tcW w:w="851" w:type="dxa"/>
          </w:tcPr>
          <w:p w14:paraId="2F25407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G-03</w:t>
            </w:r>
          </w:p>
        </w:tc>
        <w:tc>
          <w:tcPr>
            <w:tcW w:w="4514" w:type="dxa"/>
          </w:tcPr>
          <w:p w14:paraId="35BF2A83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备份文件加密离线保存</w:t>
            </w:r>
          </w:p>
        </w:tc>
        <w:tc>
          <w:tcPr>
            <w:tcW w:w="2536" w:type="dxa"/>
          </w:tcPr>
          <w:p w14:paraId="1DD7DC5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623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40293CB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 运维管理</w:t>
            </w:r>
          </w:p>
        </w:tc>
        <w:tc>
          <w:tcPr>
            <w:tcW w:w="851" w:type="dxa"/>
          </w:tcPr>
          <w:p w14:paraId="0CC0D6D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G-04</w:t>
            </w:r>
          </w:p>
        </w:tc>
        <w:tc>
          <w:tcPr>
            <w:tcW w:w="4514" w:type="dxa"/>
          </w:tcPr>
          <w:p w14:paraId="7FE9C5B4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双机热备（重要边界）</w:t>
            </w:r>
          </w:p>
        </w:tc>
        <w:tc>
          <w:tcPr>
            <w:tcW w:w="2536" w:type="dxa"/>
          </w:tcPr>
          <w:p w14:paraId="1A06404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EA97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305B00C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 运维管理</w:t>
            </w:r>
          </w:p>
        </w:tc>
        <w:tc>
          <w:tcPr>
            <w:tcW w:w="851" w:type="dxa"/>
          </w:tcPr>
          <w:p w14:paraId="078FB41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G-05</w:t>
            </w:r>
          </w:p>
        </w:tc>
        <w:tc>
          <w:tcPr>
            <w:tcW w:w="4514" w:type="dxa"/>
          </w:tcPr>
          <w:p w14:paraId="610AD81D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设备纳入监控并设告警</w:t>
            </w:r>
          </w:p>
        </w:tc>
        <w:tc>
          <w:tcPr>
            <w:tcW w:w="2536" w:type="dxa"/>
          </w:tcPr>
          <w:p w14:paraId="3ABC044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7150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</w:tcPr>
          <w:p w14:paraId="0DDFB68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 运维管理</w:t>
            </w:r>
          </w:p>
        </w:tc>
        <w:tc>
          <w:tcPr>
            <w:tcW w:w="851" w:type="dxa"/>
          </w:tcPr>
          <w:p w14:paraId="5127DDF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G-06</w:t>
            </w:r>
          </w:p>
        </w:tc>
        <w:tc>
          <w:tcPr>
            <w:tcW w:w="4514" w:type="dxa"/>
          </w:tcPr>
          <w:p w14:paraId="12655A04">
            <w:pPr>
              <w:spacing w:line="300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应急预案并完成演练</w:t>
            </w:r>
          </w:p>
        </w:tc>
        <w:tc>
          <w:tcPr>
            <w:tcW w:w="2536" w:type="dxa"/>
          </w:tcPr>
          <w:p w14:paraId="12CE82D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24BD3730"/>
    <w:sectPr>
      <w:headerReference r:id="rId3" w:type="first"/>
      <w:footerReference r:id="rId4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92220861"/>
      <w:docPartObj>
        <w:docPartGallery w:val="autotext"/>
      </w:docPartObj>
    </w:sdtPr>
    <w:sdtContent>
      <w:p w14:paraId="507A09D6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268DB">
    <w:pPr>
      <w:pStyle w:val="8"/>
      <w:rPr>
        <w:rFonts w:hint="eastAsia" w:eastAsiaTheme="majorEastAsia"/>
        <w:lang w:eastAsia="zh-CN"/>
      </w:rPr>
    </w:pPr>
    <w:r>
      <w:rPr>
        <w:rFonts w:hint="eastAsia"/>
      </w:rPr>
      <w:t>中电（福建）健康医疗大数据运营服务有限</w:t>
    </w:r>
    <w:r>
      <w:rPr>
        <w:rFonts w:hint="eastAsia"/>
        <w:lang w:eastAsia="zh-CN"/>
      </w:rPr>
      <w:t>学校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lvlText w:val="%2"/>
      <w:lvlJc w:val="left"/>
      <w:pPr>
        <w:tabs>
          <w:tab w:val="left" w:pos="420"/>
        </w:tabs>
        <w:ind w:left="420" w:hanging="42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</w:rPr>
    </w:lvl>
    <w:lvl w:ilvl="5" w:tentative="0">
      <w:start w:val="1"/>
      <w:numFmt w:val="decimal"/>
      <w:suff w:val="nothing"/>
      <w:lvlText w:val="%1%2.%3.%4.%5.%6　"/>
      <w:lvlJc w:val="left"/>
      <w:pPr>
        <w:ind w:left="84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pStyle w:val="20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%2.%3.%4.%5.%6.%7.%8"/>
      <w:lvlJc w:val="left"/>
      <w:pPr>
        <w:tabs>
          <w:tab w:val="left" w:pos="2835"/>
        </w:tabs>
        <w:ind w:left="0" w:firstLine="0"/>
      </w:pPr>
      <w:rPr>
        <w:rFonts w:hint="eastAsia" w:ascii="黑体" w:eastAsia="黑体"/>
        <w:b w:val="0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82"/>
    <w:rsid w:val="00004DFA"/>
    <w:rsid w:val="000434A4"/>
    <w:rsid w:val="000474BC"/>
    <w:rsid w:val="00052D9E"/>
    <w:rsid w:val="000B1799"/>
    <w:rsid w:val="000C646E"/>
    <w:rsid w:val="000D0277"/>
    <w:rsid w:val="000D43AF"/>
    <w:rsid w:val="000F4134"/>
    <w:rsid w:val="000F4A10"/>
    <w:rsid w:val="00170F4E"/>
    <w:rsid w:val="001778CE"/>
    <w:rsid w:val="001876B4"/>
    <w:rsid w:val="001A682F"/>
    <w:rsid w:val="001D64D6"/>
    <w:rsid w:val="001D7B4C"/>
    <w:rsid w:val="002234C2"/>
    <w:rsid w:val="0023083E"/>
    <w:rsid w:val="00240585"/>
    <w:rsid w:val="00242D84"/>
    <w:rsid w:val="00260B87"/>
    <w:rsid w:val="002706F9"/>
    <w:rsid w:val="002C01FF"/>
    <w:rsid w:val="002C423A"/>
    <w:rsid w:val="002D0D81"/>
    <w:rsid w:val="002E388C"/>
    <w:rsid w:val="0030521A"/>
    <w:rsid w:val="0032561E"/>
    <w:rsid w:val="003327B1"/>
    <w:rsid w:val="00372E94"/>
    <w:rsid w:val="003B08E9"/>
    <w:rsid w:val="003C44C3"/>
    <w:rsid w:val="00411BFD"/>
    <w:rsid w:val="00486C7F"/>
    <w:rsid w:val="004A2D6B"/>
    <w:rsid w:val="004F17FE"/>
    <w:rsid w:val="00504037"/>
    <w:rsid w:val="00510745"/>
    <w:rsid w:val="00532D49"/>
    <w:rsid w:val="005365C1"/>
    <w:rsid w:val="0055535C"/>
    <w:rsid w:val="00556504"/>
    <w:rsid w:val="00576FAF"/>
    <w:rsid w:val="00584182"/>
    <w:rsid w:val="00584208"/>
    <w:rsid w:val="005B1A21"/>
    <w:rsid w:val="005C4455"/>
    <w:rsid w:val="005D56D3"/>
    <w:rsid w:val="005D650D"/>
    <w:rsid w:val="00606606"/>
    <w:rsid w:val="00606B57"/>
    <w:rsid w:val="00632604"/>
    <w:rsid w:val="00685986"/>
    <w:rsid w:val="006A151C"/>
    <w:rsid w:val="006E103F"/>
    <w:rsid w:val="00710154"/>
    <w:rsid w:val="007765D2"/>
    <w:rsid w:val="007807D7"/>
    <w:rsid w:val="007814A3"/>
    <w:rsid w:val="007E0EE1"/>
    <w:rsid w:val="0080330C"/>
    <w:rsid w:val="00837BD2"/>
    <w:rsid w:val="00870218"/>
    <w:rsid w:val="00873B4F"/>
    <w:rsid w:val="00887E47"/>
    <w:rsid w:val="008A3308"/>
    <w:rsid w:val="008E4380"/>
    <w:rsid w:val="00917AE0"/>
    <w:rsid w:val="009500D6"/>
    <w:rsid w:val="00955867"/>
    <w:rsid w:val="00957D1C"/>
    <w:rsid w:val="00977085"/>
    <w:rsid w:val="00A02B25"/>
    <w:rsid w:val="00A15C0C"/>
    <w:rsid w:val="00A613A1"/>
    <w:rsid w:val="00A70996"/>
    <w:rsid w:val="00A86C52"/>
    <w:rsid w:val="00AB111C"/>
    <w:rsid w:val="00AD0720"/>
    <w:rsid w:val="00AD2A3C"/>
    <w:rsid w:val="00AF60A6"/>
    <w:rsid w:val="00B1541A"/>
    <w:rsid w:val="00BF4A95"/>
    <w:rsid w:val="00BF6D8C"/>
    <w:rsid w:val="00BF7C8B"/>
    <w:rsid w:val="00C07183"/>
    <w:rsid w:val="00C53EC2"/>
    <w:rsid w:val="00C82B66"/>
    <w:rsid w:val="00C8649D"/>
    <w:rsid w:val="00CC32E4"/>
    <w:rsid w:val="00CC685B"/>
    <w:rsid w:val="00D207AA"/>
    <w:rsid w:val="00D32E64"/>
    <w:rsid w:val="00D33127"/>
    <w:rsid w:val="00D5293E"/>
    <w:rsid w:val="00D85062"/>
    <w:rsid w:val="00D87436"/>
    <w:rsid w:val="00DA28EF"/>
    <w:rsid w:val="00DF58B2"/>
    <w:rsid w:val="00E0235A"/>
    <w:rsid w:val="00E477DC"/>
    <w:rsid w:val="00E526DC"/>
    <w:rsid w:val="00E65734"/>
    <w:rsid w:val="00E723E5"/>
    <w:rsid w:val="00EA2FE9"/>
    <w:rsid w:val="00EC2B41"/>
    <w:rsid w:val="00EE05FA"/>
    <w:rsid w:val="00EE2E41"/>
    <w:rsid w:val="00F220AF"/>
    <w:rsid w:val="00F64656"/>
    <w:rsid w:val="00FD249F"/>
    <w:rsid w:val="00FF0FC1"/>
    <w:rsid w:val="026B4BB1"/>
    <w:rsid w:val="13A903B7"/>
    <w:rsid w:val="16AD3F88"/>
    <w:rsid w:val="17577473"/>
    <w:rsid w:val="325E6198"/>
    <w:rsid w:val="3DF80011"/>
    <w:rsid w:val="47706643"/>
    <w:rsid w:val="5215277A"/>
    <w:rsid w:val="5C406869"/>
    <w:rsid w:val="60543F32"/>
    <w:rsid w:val="639E277B"/>
    <w:rsid w:val="66B33A51"/>
    <w:rsid w:val="70954D28"/>
    <w:rsid w:val="7DCC7FAF"/>
    <w:rsid w:val="CCD7E657"/>
    <w:rsid w:val="FED19A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99" w:semiHidden="0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nhideWhenUsed="0" w:uiPriority="99" w:semiHidden="0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ajorHAnsi" w:hAnsiTheme="majorHAnsi" w:eastAsiaTheme="majorEastAsia" w:cstheme="majorBidi"/>
      <w:ker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line="360" w:lineRule="auto"/>
      <w:outlineLvl w:val="1"/>
    </w:pPr>
    <w:rPr>
      <w:bCs/>
      <w:sz w:val="24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1"/>
    <w:semiHidden/>
    <w:unhideWhenUsed/>
    <w:uiPriority w:val="99"/>
    <w:rPr>
      <w:rFonts w:ascii="宋体" w:eastAsia="宋体"/>
      <w:sz w:val="18"/>
      <w:szCs w:val="18"/>
    </w:rPr>
  </w:style>
  <w:style w:type="paragraph" w:styleId="6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Theme="majorHAnsi" w:hAnsiTheme="majorHAnsi" w:eastAsiaTheme="majorEastAsia" w:cstheme="majorBidi"/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2"/>
    <w:qFormat/>
    <w:uiPriority w:val="9"/>
    <w:rPr>
      <w:rFonts w:asciiTheme="majorHAnsi" w:hAnsiTheme="majorHAnsi" w:eastAsiaTheme="majorEastAsia" w:cstheme="majorBidi"/>
      <w:b/>
      <w:bCs/>
      <w:kern w:val="44"/>
      <w:sz w:val="44"/>
      <w:szCs w:val="44"/>
    </w:rPr>
  </w:style>
  <w:style w:type="character" w:customStyle="1" w:styleId="13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Cs/>
      <w:kern w:val="0"/>
      <w:sz w:val="24"/>
      <w:szCs w:val="32"/>
    </w:rPr>
  </w:style>
  <w:style w:type="paragraph" w:styleId="14">
    <w:name w:val="List Paragraph"/>
    <w:basedOn w:val="1"/>
    <w:qFormat/>
    <w:uiPriority w:val="0"/>
    <w:pPr>
      <w:ind w:left="720"/>
      <w:contextualSpacing/>
    </w:pPr>
  </w:style>
  <w:style w:type="character" w:customStyle="1" w:styleId="15">
    <w:name w:val="页脚 字符"/>
    <w:basedOn w:val="11"/>
    <w:link w:val="7"/>
    <w:qFormat/>
    <w:uiPriority w:val="99"/>
    <w:rPr>
      <w:rFonts w:asciiTheme="majorHAnsi" w:hAnsiTheme="majorHAnsi" w:eastAsiaTheme="majorEastAsia" w:cstheme="majorBidi"/>
      <w:kern w:val="0"/>
      <w:sz w:val="18"/>
      <w:szCs w:val="18"/>
    </w:rPr>
  </w:style>
  <w:style w:type="character" w:customStyle="1" w:styleId="16">
    <w:name w:val="页眉 字符"/>
    <w:basedOn w:val="11"/>
    <w:link w:val="8"/>
    <w:qFormat/>
    <w:uiPriority w:val="99"/>
    <w:rPr>
      <w:rFonts w:asciiTheme="majorHAnsi" w:hAnsiTheme="majorHAnsi" w:eastAsiaTheme="majorEastAsia" w:cstheme="majorBidi"/>
      <w:kern w:val="0"/>
      <w:sz w:val="18"/>
      <w:szCs w:val="18"/>
    </w:rPr>
  </w:style>
  <w:style w:type="character" w:customStyle="1" w:styleId="17">
    <w:name w:val="批注框文本 字符"/>
    <w:basedOn w:val="11"/>
    <w:link w:val="6"/>
    <w:semiHidden/>
    <w:qFormat/>
    <w:uiPriority w:val="99"/>
    <w:rPr>
      <w:rFonts w:asciiTheme="majorHAnsi" w:hAnsiTheme="majorHAnsi" w:eastAsiaTheme="majorEastAsia" w:cstheme="majorBidi"/>
      <w:kern w:val="0"/>
      <w:sz w:val="18"/>
      <w:szCs w:val="18"/>
    </w:rPr>
  </w:style>
  <w:style w:type="character" w:customStyle="1" w:styleId="18">
    <w:name w:val="标题 3 字符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customStyle="1" w:styleId="19">
    <w:name w:val="段"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20">
    <w:name w:val="五级条标题"/>
    <w:basedOn w:val="1"/>
    <w:next w:val="19"/>
    <w:qFormat/>
    <w:uiPriority w:val="0"/>
    <w:pPr>
      <w:numPr>
        <w:ilvl w:val="6"/>
        <w:numId w:val="1"/>
      </w:numPr>
      <w:ind w:right="8" w:rightChars="4"/>
      <w:outlineLvl w:val="6"/>
    </w:pPr>
    <w:rPr>
      <w:rFonts w:ascii="Times New Roman" w:hAnsi="Times New Roman" w:eastAsia="仿宋_GB2312" w:cs="Times New Roman"/>
      <w:kern w:val="2"/>
      <w:sz w:val="28"/>
      <w:szCs w:val="20"/>
    </w:rPr>
  </w:style>
  <w:style w:type="character" w:customStyle="1" w:styleId="21">
    <w:name w:val="文档结构图 字符"/>
    <w:basedOn w:val="11"/>
    <w:link w:val="5"/>
    <w:semiHidden/>
    <w:qFormat/>
    <w:uiPriority w:val="99"/>
    <w:rPr>
      <w:rFonts w:ascii="宋体" w:eastAsia="宋体" w:hAnsiTheme="majorHAnsi" w:cstheme="majorBid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chinahope</Company>
  <Pages>9</Pages>
  <Words>276</Words>
  <Characters>1578</Characters>
  <Lines>13</Lines>
  <Paragraphs>3</Paragraphs>
  <TotalTime>4</TotalTime>
  <ScaleCrop>false</ScaleCrop>
  <LinksUpToDate>false</LinksUpToDate>
  <CharactersWithSpaces>1851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2013-11-18T10:15:00Z</dcterms:created>
  <dc:creator>苏阳浪</dc:creator>
  <cp:lastModifiedBy>jie</cp:lastModifiedBy>
  <dcterms:modified xsi:type="dcterms:W3CDTF">2026-08-17T04:38:10Z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29F26891A72A4ABBA00818F68D7FE1C6_13</vt:lpwstr>
  </property>
</Properties>
</file>